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B6" w:rsidRPr="000F1CB6" w:rsidRDefault="000F1CB6" w:rsidP="00EC7868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lang w:eastAsia="en-US"/>
        </w:rPr>
      </w:pPr>
      <w:r w:rsidRPr="000F1CB6">
        <w:rPr>
          <w:rFonts w:ascii="Times New Roman CYR" w:eastAsia="Calibri" w:hAnsi="Times New Roman CYR" w:cs="Times New Roman CYR"/>
          <w:lang w:eastAsia="en-US"/>
        </w:rPr>
        <w:t>Утверждено</w:t>
      </w:r>
    </w:p>
    <w:p w:rsidR="000F1CB6" w:rsidRPr="000F1CB6" w:rsidRDefault="000F1CB6" w:rsidP="00EC7868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lang w:eastAsia="en-US"/>
        </w:rPr>
      </w:pPr>
      <w:r w:rsidRPr="000F1CB6">
        <w:rPr>
          <w:rFonts w:ascii="Times New Roman CYR" w:eastAsia="Calibri" w:hAnsi="Times New Roman CYR" w:cs="Times New Roman CYR"/>
          <w:lang w:eastAsia="en-US"/>
        </w:rPr>
        <w:t>Решением Коллегии Контрольной</w:t>
      </w:r>
    </w:p>
    <w:p w:rsidR="000F1CB6" w:rsidRPr="000F1CB6" w:rsidRDefault="000F1CB6" w:rsidP="00EC7868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lang w:eastAsia="en-US"/>
        </w:rPr>
      </w:pPr>
      <w:r w:rsidRPr="000F1CB6">
        <w:rPr>
          <w:rFonts w:ascii="Times New Roman CYR" w:eastAsia="Calibri" w:hAnsi="Times New Roman CYR" w:cs="Times New Roman CYR"/>
          <w:lang w:eastAsia="en-US"/>
        </w:rPr>
        <w:t>палаты Республики Абхазия,</w:t>
      </w:r>
    </w:p>
    <w:p w:rsidR="000F1CB6" w:rsidRPr="000F1CB6" w:rsidRDefault="000F1CB6" w:rsidP="00EC7868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lang w:eastAsia="en-US"/>
        </w:rPr>
      </w:pPr>
      <w:r w:rsidRPr="000F1CB6">
        <w:rPr>
          <w:rFonts w:ascii="Times New Roman CYR" w:eastAsia="Calibri" w:hAnsi="Times New Roman CYR" w:cs="Times New Roman CYR"/>
          <w:lang w:eastAsia="en-US"/>
        </w:rPr>
        <w:t>оформленным Протоколом</w:t>
      </w:r>
    </w:p>
    <w:p w:rsidR="000F1CB6" w:rsidRPr="000F1CB6" w:rsidRDefault="000F1CB6" w:rsidP="00EC7868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lang w:eastAsia="en-US"/>
        </w:rPr>
      </w:pPr>
      <w:r w:rsidRPr="000F1CB6">
        <w:rPr>
          <w:rFonts w:ascii="Times New Roman CYR" w:eastAsia="Calibri" w:hAnsi="Times New Roman CYR" w:cs="Times New Roman CYR"/>
          <w:lang w:eastAsia="en-US"/>
        </w:rPr>
        <w:t>заседания Коллегии Контрольной</w:t>
      </w:r>
    </w:p>
    <w:p w:rsidR="000F1CB6" w:rsidRPr="000F1CB6" w:rsidRDefault="000F1CB6" w:rsidP="00EC7868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lang w:eastAsia="en-US"/>
        </w:rPr>
      </w:pPr>
      <w:r w:rsidRPr="000F1CB6">
        <w:rPr>
          <w:rFonts w:ascii="Times New Roman CYR" w:eastAsia="Calibri" w:hAnsi="Times New Roman CYR" w:cs="Times New Roman CYR"/>
          <w:lang w:eastAsia="en-US"/>
        </w:rPr>
        <w:t>палаты Республики Абхазия</w:t>
      </w:r>
    </w:p>
    <w:p w:rsidR="000F1CB6" w:rsidRPr="000F1CB6" w:rsidRDefault="000F1CB6" w:rsidP="00EC7868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sz w:val="28"/>
          <w:szCs w:val="28"/>
        </w:rPr>
      </w:pPr>
      <w:r w:rsidRPr="000F1CB6">
        <w:rPr>
          <w:rFonts w:eastAsia="Calibri"/>
          <w:lang w:eastAsia="en-US"/>
        </w:rPr>
        <w:t xml:space="preserve">                                                                                                         «___» ________ 2017 </w:t>
      </w:r>
      <w:r w:rsidRPr="000F1CB6">
        <w:rPr>
          <w:rFonts w:ascii="Times New Roman CYR" w:eastAsia="Calibri" w:hAnsi="Times New Roman CYR" w:cs="Times New Roman CYR"/>
          <w:lang w:eastAsia="en-US"/>
        </w:rPr>
        <w:t>г. №___</w:t>
      </w:r>
    </w:p>
    <w:p w:rsidR="00FC4CA6" w:rsidRDefault="00FC4CA6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0F1CB6" w:rsidRDefault="000F1CB6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FC4CA6" w:rsidRPr="00003F32" w:rsidRDefault="00003F32" w:rsidP="00EC786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03F32">
        <w:rPr>
          <w:b/>
          <w:bCs/>
          <w:sz w:val="28"/>
          <w:szCs w:val="28"/>
        </w:rPr>
        <w:t xml:space="preserve">Оперативный отчет об </w:t>
      </w:r>
      <w:r w:rsidRPr="00003F32">
        <w:rPr>
          <w:b/>
          <w:sz w:val="28"/>
          <w:szCs w:val="28"/>
        </w:rPr>
        <w:t>исполнении бюджета</w:t>
      </w:r>
    </w:p>
    <w:p w:rsidR="00003F32" w:rsidRDefault="00003F32" w:rsidP="00EC786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03F32">
        <w:rPr>
          <w:b/>
          <w:sz w:val="28"/>
          <w:szCs w:val="28"/>
        </w:rPr>
        <w:t>Гулрыпшского района</w:t>
      </w:r>
      <w:r w:rsidR="00100D8E" w:rsidRPr="00100D8E">
        <w:rPr>
          <w:sz w:val="28"/>
          <w:szCs w:val="28"/>
        </w:rPr>
        <w:t xml:space="preserve"> </w:t>
      </w:r>
      <w:r w:rsidR="00100D8E" w:rsidRPr="00100D8E">
        <w:rPr>
          <w:b/>
          <w:sz w:val="28"/>
          <w:szCs w:val="28"/>
        </w:rPr>
        <w:t>Республики Абхазия</w:t>
      </w:r>
      <w:r w:rsidRPr="00003F32">
        <w:rPr>
          <w:b/>
          <w:bCs/>
          <w:sz w:val="28"/>
          <w:szCs w:val="28"/>
        </w:rPr>
        <w:t xml:space="preserve"> </w:t>
      </w:r>
      <w:r w:rsidR="008D399F">
        <w:rPr>
          <w:b/>
          <w:bCs/>
          <w:sz w:val="28"/>
          <w:szCs w:val="28"/>
        </w:rPr>
        <w:t xml:space="preserve">                                                         </w:t>
      </w:r>
      <w:r w:rsidRPr="00003F32">
        <w:rPr>
          <w:b/>
          <w:sz w:val="28"/>
          <w:szCs w:val="28"/>
        </w:rPr>
        <w:t>за</w:t>
      </w:r>
      <w:r w:rsidRPr="00003F32">
        <w:rPr>
          <w:sz w:val="28"/>
          <w:szCs w:val="28"/>
        </w:rPr>
        <w:t xml:space="preserve"> </w:t>
      </w:r>
      <w:r w:rsidRPr="00003F32">
        <w:rPr>
          <w:b/>
          <w:sz w:val="28"/>
          <w:szCs w:val="28"/>
          <w:lang w:val="en-US"/>
        </w:rPr>
        <w:t>I</w:t>
      </w:r>
      <w:r w:rsidR="00610170">
        <w:rPr>
          <w:b/>
          <w:sz w:val="28"/>
          <w:szCs w:val="28"/>
        </w:rPr>
        <w:t>-ое полугодие 2017 года</w:t>
      </w:r>
    </w:p>
    <w:p w:rsidR="00610170" w:rsidRPr="00610170" w:rsidRDefault="00610170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003F32" w:rsidRPr="00003F32" w:rsidRDefault="00A839B9" w:rsidP="00EC7868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003F32" w:rsidRPr="00003F32">
        <w:rPr>
          <w:b/>
          <w:bCs/>
          <w:sz w:val="28"/>
          <w:szCs w:val="28"/>
        </w:rPr>
        <w:t>Общие положения</w:t>
      </w:r>
    </w:p>
    <w:p w:rsidR="00012857" w:rsidRDefault="00F109B4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857" w:rsidRPr="00090F4E">
        <w:rPr>
          <w:sz w:val="28"/>
          <w:szCs w:val="28"/>
        </w:rPr>
        <w:t xml:space="preserve">Оперативный </w:t>
      </w:r>
      <w:r w:rsidR="00012857" w:rsidRPr="00367393">
        <w:rPr>
          <w:sz w:val="28"/>
          <w:szCs w:val="28"/>
        </w:rPr>
        <w:t>отчет об исполнении бюджета Гулрыпшского района за</w:t>
      </w:r>
      <w:r w:rsidR="00012857">
        <w:rPr>
          <w:sz w:val="28"/>
          <w:szCs w:val="28"/>
        </w:rPr>
        <w:t xml:space="preserve"> </w:t>
      </w:r>
      <w:r w:rsidR="001D2415">
        <w:rPr>
          <w:sz w:val="28"/>
          <w:szCs w:val="28"/>
        </w:rPr>
        <w:t xml:space="preserve">    </w:t>
      </w:r>
      <w:r w:rsidR="00831FC4">
        <w:rPr>
          <w:sz w:val="28"/>
          <w:szCs w:val="28"/>
          <w:lang w:val="en-US"/>
        </w:rPr>
        <w:t>I</w:t>
      </w:r>
      <w:r w:rsidR="00012857">
        <w:rPr>
          <w:sz w:val="28"/>
          <w:szCs w:val="28"/>
        </w:rPr>
        <w:t>-ое полугодие</w:t>
      </w:r>
      <w:r w:rsidR="00012857" w:rsidRPr="00367393">
        <w:rPr>
          <w:sz w:val="28"/>
          <w:szCs w:val="28"/>
        </w:rPr>
        <w:t xml:space="preserve"> 201</w:t>
      </w:r>
      <w:r w:rsidR="00012857">
        <w:rPr>
          <w:sz w:val="28"/>
          <w:szCs w:val="28"/>
        </w:rPr>
        <w:t>7</w:t>
      </w:r>
      <w:r w:rsidR="00831FC4">
        <w:rPr>
          <w:sz w:val="28"/>
          <w:szCs w:val="28"/>
        </w:rPr>
        <w:t xml:space="preserve"> года </w:t>
      </w:r>
      <w:r w:rsidR="00831FC4" w:rsidRPr="00367393">
        <w:rPr>
          <w:sz w:val="28"/>
          <w:szCs w:val="28"/>
        </w:rPr>
        <w:t>осуществлен</w:t>
      </w:r>
      <w:r w:rsidR="00012857" w:rsidRPr="00367393">
        <w:rPr>
          <w:sz w:val="28"/>
          <w:szCs w:val="28"/>
        </w:rPr>
        <w:t xml:space="preserve"> в соответствии с Законом Республики Абхазия «О Контрольной палате Республики Абхазия» от 05.11.2010г. №2749-с-</w:t>
      </w:r>
      <w:r w:rsidR="00012857" w:rsidRPr="00367393">
        <w:rPr>
          <w:sz w:val="28"/>
          <w:szCs w:val="28"/>
          <w:lang w:val="en-US"/>
        </w:rPr>
        <w:t>IV</w:t>
      </w:r>
      <w:r w:rsidR="00012857" w:rsidRPr="00367393">
        <w:rPr>
          <w:sz w:val="28"/>
          <w:szCs w:val="28"/>
        </w:rPr>
        <w:t xml:space="preserve"> на основании представленных администрацией</w:t>
      </w:r>
      <w:r w:rsidR="00012857" w:rsidRPr="00367393">
        <w:rPr>
          <w:b/>
          <w:sz w:val="28"/>
          <w:szCs w:val="28"/>
        </w:rPr>
        <w:t xml:space="preserve"> </w:t>
      </w:r>
      <w:r w:rsidR="00012857" w:rsidRPr="00367393">
        <w:rPr>
          <w:sz w:val="28"/>
          <w:szCs w:val="28"/>
        </w:rPr>
        <w:t xml:space="preserve">Гулрыпшского района форм бюджетной отчетности и прилагаемых к ним документов. </w:t>
      </w:r>
    </w:p>
    <w:p w:rsidR="00AE70E7" w:rsidRPr="00367393" w:rsidRDefault="00AE70E7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67393">
        <w:rPr>
          <w:sz w:val="28"/>
          <w:szCs w:val="28"/>
        </w:rPr>
        <w:t xml:space="preserve">Проверка проведена на предмет аналитической оценки исполнения бюджета Гулрыпшского района за </w:t>
      </w:r>
      <w:r w:rsidR="00831FC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-ое полугодие</w:t>
      </w:r>
      <w:r w:rsidRPr="0036739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367393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367393">
        <w:rPr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  <w:r>
        <w:rPr>
          <w:sz w:val="28"/>
          <w:szCs w:val="28"/>
        </w:rPr>
        <w:t xml:space="preserve"> </w:t>
      </w:r>
    </w:p>
    <w:p w:rsidR="00AE70E7" w:rsidRDefault="00AE70E7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67393">
        <w:rPr>
          <w:sz w:val="28"/>
          <w:szCs w:val="28"/>
        </w:rPr>
        <w:t>Представленный администрацией</w:t>
      </w:r>
      <w:r w:rsidRPr="00367393">
        <w:rPr>
          <w:b/>
          <w:sz w:val="28"/>
          <w:szCs w:val="28"/>
        </w:rPr>
        <w:t xml:space="preserve"> </w:t>
      </w:r>
      <w:r w:rsidRPr="00367393">
        <w:rPr>
          <w:sz w:val="28"/>
          <w:szCs w:val="28"/>
        </w:rPr>
        <w:t xml:space="preserve">Гулрыпшского района отчет </w:t>
      </w:r>
      <w:r w:rsidRPr="00767893">
        <w:rPr>
          <w:sz w:val="28"/>
          <w:szCs w:val="28"/>
        </w:rPr>
        <w:t>содержит следующие сведения:</w:t>
      </w:r>
    </w:p>
    <w:p w:rsidR="00AD679E" w:rsidRPr="005F52C1" w:rsidRDefault="00AD679E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7893">
        <w:rPr>
          <w:sz w:val="28"/>
          <w:szCs w:val="28"/>
        </w:rPr>
        <w:t>- пояснительная записка</w:t>
      </w:r>
      <w:r w:rsidR="005F52C1" w:rsidRPr="005F52C1">
        <w:rPr>
          <w:sz w:val="28"/>
          <w:szCs w:val="28"/>
        </w:rPr>
        <w:t xml:space="preserve"> </w:t>
      </w:r>
      <w:r w:rsidR="005F52C1" w:rsidRPr="00767893">
        <w:rPr>
          <w:sz w:val="28"/>
          <w:szCs w:val="28"/>
        </w:rPr>
        <w:t>финотдела по исполнению бюджета Гулрыпшского района</w:t>
      </w:r>
      <w:r w:rsidR="005F52C1" w:rsidRPr="005F52C1">
        <w:rPr>
          <w:sz w:val="28"/>
          <w:szCs w:val="28"/>
        </w:rPr>
        <w:t xml:space="preserve"> </w:t>
      </w:r>
      <w:r w:rsidR="005F52C1" w:rsidRPr="00767893">
        <w:rPr>
          <w:sz w:val="28"/>
          <w:szCs w:val="28"/>
        </w:rPr>
        <w:t xml:space="preserve">за </w:t>
      </w:r>
      <w:r w:rsidR="00831FC4">
        <w:rPr>
          <w:sz w:val="28"/>
          <w:szCs w:val="28"/>
          <w:lang w:val="en-US"/>
        </w:rPr>
        <w:t>I</w:t>
      </w:r>
      <w:r w:rsidR="005F52C1">
        <w:rPr>
          <w:sz w:val="28"/>
          <w:szCs w:val="28"/>
        </w:rPr>
        <w:t>-ое полугодие</w:t>
      </w:r>
      <w:r w:rsidR="005F52C1" w:rsidRPr="00367393">
        <w:rPr>
          <w:sz w:val="28"/>
          <w:szCs w:val="28"/>
        </w:rPr>
        <w:t xml:space="preserve"> 201</w:t>
      </w:r>
      <w:r w:rsidR="005F52C1">
        <w:rPr>
          <w:sz w:val="28"/>
          <w:szCs w:val="28"/>
        </w:rPr>
        <w:t xml:space="preserve">7 </w:t>
      </w:r>
      <w:r w:rsidR="005F52C1" w:rsidRPr="00367393">
        <w:rPr>
          <w:sz w:val="28"/>
          <w:szCs w:val="28"/>
        </w:rPr>
        <w:t>год</w:t>
      </w:r>
      <w:r w:rsidR="005F52C1">
        <w:rPr>
          <w:sz w:val="28"/>
          <w:szCs w:val="28"/>
        </w:rPr>
        <w:t>а;</w:t>
      </w:r>
    </w:p>
    <w:p w:rsidR="00233947" w:rsidRDefault="00AD679E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7893">
        <w:rPr>
          <w:sz w:val="28"/>
          <w:szCs w:val="28"/>
        </w:rPr>
        <w:t xml:space="preserve">- отчет об исполнении доходной части бюджета Гулрыпшского района за </w:t>
      </w:r>
      <w:r w:rsidR="00F55B18" w:rsidRPr="00F55B18">
        <w:rPr>
          <w:sz w:val="28"/>
          <w:szCs w:val="28"/>
        </w:rPr>
        <w:t xml:space="preserve">I-ое </w:t>
      </w:r>
      <w:r>
        <w:rPr>
          <w:sz w:val="28"/>
          <w:szCs w:val="28"/>
        </w:rPr>
        <w:t>полугодие</w:t>
      </w:r>
      <w:r w:rsidRPr="0036739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367393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67893">
        <w:rPr>
          <w:sz w:val="28"/>
          <w:szCs w:val="28"/>
        </w:rPr>
        <w:t xml:space="preserve"> с разбивкой по видам налогов</w:t>
      </w:r>
      <w:r w:rsidR="005F52C1">
        <w:rPr>
          <w:sz w:val="28"/>
          <w:szCs w:val="28"/>
        </w:rPr>
        <w:t>ых поступлений</w:t>
      </w:r>
      <w:r w:rsidRPr="00767893">
        <w:rPr>
          <w:sz w:val="28"/>
          <w:szCs w:val="28"/>
        </w:rPr>
        <w:t>;</w:t>
      </w:r>
    </w:p>
    <w:p w:rsidR="00AD679E" w:rsidRDefault="00AD679E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7893">
        <w:rPr>
          <w:sz w:val="28"/>
          <w:szCs w:val="28"/>
        </w:rPr>
        <w:t xml:space="preserve">- отчет об исполнении расходной части бюджета Гулрыпшского района за </w:t>
      </w:r>
      <w:r w:rsidR="00F55B18" w:rsidRPr="00F55B18">
        <w:rPr>
          <w:sz w:val="28"/>
          <w:szCs w:val="28"/>
        </w:rPr>
        <w:t>I-ое</w:t>
      </w:r>
      <w:r>
        <w:rPr>
          <w:sz w:val="28"/>
          <w:szCs w:val="28"/>
        </w:rPr>
        <w:t xml:space="preserve"> полугодие</w:t>
      </w:r>
      <w:r w:rsidRPr="0036739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367393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="005F52C1">
        <w:rPr>
          <w:sz w:val="28"/>
          <w:szCs w:val="28"/>
        </w:rPr>
        <w:t xml:space="preserve"> с постатейной разбивкой.</w:t>
      </w:r>
    </w:p>
    <w:p w:rsidR="0055040B" w:rsidRDefault="005F52C1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433EF">
        <w:rPr>
          <w:color w:val="000000" w:themeColor="text1"/>
          <w:sz w:val="28"/>
          <w:szCs w:val="28"/>
        </w:rPr>
        <w:lastRenderedPageBreak/>
        <w:t xml:space="preserve">Согласно представленному отчету общий объем доходов за </w:t>
      </w:r>
      <w:r w:rsidR="00D20F94" w:rsidRPr="003433EF">
        <w:rPr>
          <w:color w:val="000000" w:themeColor="text1"/>
          <w:sz w:val="28"/>
          <w:szCs w:val="28"/>
        </w:rPr>
        <w:t xml:space="preserve">рассматриваемый </w:t>
      </w:r>
      <w:r w:rsidR="00D20F94">
        <w:rPr>
          <w:color w:val="000000" w:themeColor="text1"/>
          <w:sz w:val="28"/>
          <w:szCs w:val="28"/>
        </w:rPr>
        <w:t>период</w:t>
      </w:r>
      <w:r w:rsidRPr="003433EF">
        <w:rPr>
          <w:color w:val="000000" w:themeColor="text1"/>
          <w:sz w:val="28"/>
          <w:szCs w:val="28"/>
        </w:rPr>
        <w:t xml:space="preserve"> </w:t>
      </w:r>
      <w:r w:rsidR="00D20F94" w:rsidRPr="003433EF">
        <w:rPr>
          <w:color w:val="000000" w:themeColor="text1"/>
          <w:sz w:val="28"/>
          <w:szCs w:val="28"/>
        </w:rPr>
        <w:t>составил</w:t>
      </w:r>
      <w:r w:rsidR="00D20F94">
        <w:rPr>
          <w:color w:val="000000" w:themeColor="text1"/>
          <w:sz w:val="28"/>
          <w:szCs w:val="28"/>
        </w:rPr>
        <w:t xml:space="preserve"> 62</w:t>
      </w:r>
      <w:r w:rsidR="00785C98">
        <w:rPr>
          <w:color w:val="000000" w:themeColor="text1"/>
          <w:sz w:val="28"/>
          <w:szCs w:val="28"/>
        </w:rPr>
        <w:t> 539,5</w:t>
      </w:r>
      <w:r w:rsidR="00821C91" w:rsidRPr="00821C91">
        <w:rPr>
          <w:sz w:val="28"/>
          <w:szCs w:val="28"/>
        </w:rPr>
        <w:t xml:space="preserve"> </w:t>
      </w:r>
      <w:r w:rsidR="00842A68">
        <w:rPr>
          <w:sz w:val="28"/>
          <w:szCs w:val="28"/>
        </w:rPr>
        <w:t>тыс. руб.,</w:t>
      </w:r>
      <w:r w:rsidR="00D20F94">
        <w:rPr>
          <w:sz w:val="28"/>
          <w:szCs w:val="28"/>
        </w:rPr>
        <w:t xml:space="preserve"> в том числе дотация из Республиканского </w:t>
      </w:r>
      <w:r w:rsidR="00D20F94" w:rsidRPr="00D20F94">
        <w:rPr>
          <w:sz w:val="28"/>
          <w:szCs w:val="28"/>
        </w:rPr>
        <w:t xml:space="preserve">бюджета </w:t>
      </w:r>
      <w:r w:rsidR="00921A4A">
        <w:rPr>
          <w:sz w:val="28"/>
          <w:szCs w:val="28"/>
        </w:rPr>
        <w:t>34 212,3 тыс. руб. Кроме того поступили</w:t>
      </w:r>
      <w:r w:rsidR="00D20F94">
        <w:rPr>
          <w:sz w:val="28"/>
          <w:szCs w:val="28"/>
        </w:rPr>
        <w:t xml:space="preserve"> целевые средства из Резервного фонда Президента Республики Абхазия в сумме            11</w:t>
      </w:r>
      <w:r w:rsidR="00D20F94" w:rsidRPr="00D20F94">
        <w:rPr>
          <w:sz w:val="28"/>
          <w:szCs w:val="28"/>
        </w:rPr>
        <w:t xml:space="preserve"> 991,6 тыс. руб</w:t>
      </w:r>
      <w:r w:rsidR="00921A4A">
        <w:rPr>
          <w:sz w:val="28"/>
          <w:szCs w:val="28"/>
        </w:rPr>
        <w:t>.</w:t>
      </w:r>
      <w:r w:rsidR="00842A68">
        <w:rPr>
          <w:sz w:val="28"/>
          <w:szCs w:val="28"/>
        </w:rPr>
        <w:t xml:space="preserve"> </w:t>
      </w:r>
      <w:r w:rsidR="00921A4A">
        <w:rPr>
          <w:sz w:val="28"/>
          <w:szCs w:val="28"/>
        </w:rPr>
        <w:t>О</w:t>
      </w:r>
      <w:r w:rsidR="00842A68" w:rsidRPr="00B05143">
        <w:rPr>
          <w:sz w:val="28"/>
          <w:szCs w:val="28"/>
        </w:rPr>
        <w:t>бщий объем расходов</w:t>
      </w:r>
      <w:r w:rsidR="00842A68">
        <w:rPr>
          <w:sz w:val="28"/>
          <w:szCs w:val="28"/>
        </w:rPr>
        <w:t xml:space="preserve"> </w:t>
      </w:r>
      <w:r w:rsidR="00921A4A">
        <w:rPr>
          <w:sz w:val="28"/>
          <w:szCs w:val="28"/>
        </w:rPr>
        <w:t>составили</w:t>
      </w:r>
      <w:r w:rsidR="00842A68">
        <w:rPr>
          <w:sz w:val="28"/>
          <w:szCs w:val="28"/>
        </w:rPr>
        <w:t xml:space="preserve"> 82 315,0 тыс. руб.</w:t>
      </w:r>
    </w:p>
    <w:p w:rsidR="00BF1A03" w:rsidRDefault="006804BA" w:rsidP="00D8441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C94">
        <w:rPr>
          <w:sz w:val="28"/>
          <w:szCs w:val="28"/>
        </w:rPr>
        <w:t xml:space="preserve">Остаток средств на </w:t>
      </w:r>
      <w:r w:rsidR="00C0479F" w:rsidRPr="00977C94">
        <w:rPr>
          <w:sz w:val="28"/>
          <w:szCs w:val="28"/>
        </w:rPr>
        <w:t>01.01.2017г. составлял 18 255,4 тыс. руб.</w:t>
      </w:r>
      <w:r w:rsidR="00C0479F">
        <w:rPr>
          <w:sz w:val="28"/>
          <w:szCs w:val="28"/>
        </w:rPr>
        <w:t xml:space="preserve">, остаток средств на </w:t>
      </w:r>
      <w:r>
        <w:rPr>
          <w:sz w:val="28"/>
          <w:szCs w:val="28"/>
        </w:rPr>
        <w:t>01.07</w:t>
      </w:r>
      <w:r w:rsidRPr="00977C94">
        <w:rPr>
          <w:sz w:val="28"/>
          <w:szCs w:val="28"/>
        </w:rPr>
        <w:t>.2017г. состав</w:t>
      </w:r>
      <w:r>
        <w:rPr>
          <w:sz w:val="28"/>
          <w:szCs w:val="28"/>
        </w:rPr>
        <w:t>ил 10 380,8</w:t>
      </w:r>
      <w:r w:rsidRPr="006804B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="00921A4A">
        <w:rPr>
          <w:sz w:val="28"/>
          <w:szCs w:val="28"/>
        </w:rPr>
        <w:t xml:space="preserve"> </w:t>
      </w:r>
    </w:p>
    <w:p w:rsidR="00D8441A" w:rsidRDefault="00D8441A" w:rsidP="00D8441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07751B" w:rsidRPr="00C65906" w:rsidRDefault="009548A3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C65906">
        <w:t xml:space="preserve">Табл.№1                                     </w:t>
      </w:r>
      <w:r w:rsidR="00C65906">
        <w:t xml:space="preserve">                    </w:t>
      </w:r>
      <w:r w:rsidRPr="00C65906">
        <w:t xml:space="preserve">                                                                   (тыс. руб.)</w:t>
      </w:r>
    </w:p>
    <w:tbl>
      <w:tblPr>
        <w:tblW w:w="109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27"/>
        <w:gridCol w:w="1423"/>
        <w:gridCol w:w="1296"/>
        <w:gridCol w:w="1440"/>
        <w:gridCol w:w="1439"/>
        <w:gridCol w:w="1152"/>
        <w:gridCol w:w="1152"/>
      </w:tblGrid>
      <w:tr w:rsidR="00BE30F6" w:rsidRPr="00BE30F6" w:rsidTr="00F22D1E">
        <w:trPr>
          <w:trHeight w:val="1141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D8441A">
            <w:pPr>
              <w:jc w:val="center"/>
              <w:rPr>
                <w:b/>
                <w:bCs/>
              </w:rPr>
            </w:pPr>
            <w:r w:rsidRPr="00BE30F6">
              <w:rPr>
                <w:b/>
                <w:bCs/>
              </w:rPr>
              <w:t>Наименование показателя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E30F6" w:rsidRPr="00BE30F6" w:rsidRDefault="00BE30F6" w:rsidP="00D8441A">
            <w:pPr>
              <w:jc w:val="both"/>
              <w:rPr>
                <w:b/>
                <w:bCs/>
                <w:sz w:val="22"/>
                <w:szCs w:val="22"/>
              </w:rPr>
            </w:pPr>
            <w:r w:rsidRPr="00BE30F6">
              <w:rPr>
                <w:b/>
                <w:bCs/>
                <w:sz w:val="22"/>
                <w:szCs w:val="22"/>
              </w:rPr>
              <w:t>Утвержд. на 2017г.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D8441A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D8441A">
              <w:rPr>
                <w:b/>
                <w:bCs/>
                <w:sz w:val="22"/>
                <w:szCs w:val="22"/>
              </w:rPr>
              <w:t>Прогноз</w:t>
            </w:r>
            <w:r w:rsidRPr="00BE30F6">
              <w:rPr>
                <w:b/>
                <w:bCs/>
                <w:sz w:val="22"/>
                <w:szCs w:val="22"/>
              </w:rPr>
              <w:t xml:space="preserve"> на 1-ое </w:t>
            </w:r>
            <w:proofErr w:type="spellStart"/>
            <w:r w:rsidRPr="00BE30F6">
              <w:rPr>
                <w:b/>
                <w:bCs/>
                <w:sz w:val="22"/>
                <w:szCs w:val="22"/>
              </w:rPr>
              <w:t>полуг</w:t>
            </w:r>
            <w:proofErr w:type="spellEnd"/>
            <w:r w:rsidRPr="00BE30F6">
              <w:rPr>
                <w:b/>
                <w:bCs/>
                <w:sz w:val="22"/>
                <w:szCs w:val="22"/>
              </w:rPr>
              <w:t>. 2017г.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BE30F6">
              <w:rPr>
                <w:b/>
                <w:bCs/>
                <w:sz w:val="22"/>
                <w:szCs w:val="22"/>
                <w:u w:val="single"/>
              </w:rPr>
              <w:t>Исполн</w:t>
            </w:r>
            <w:proofErr w:type="spellEnd"/>
            <w:r w:rsidRPr="00BE30F6">
              <w:rPr>
                <w:b/>
                <w:bCs/>
                <w:sz w:val="22"/>
                <w:szCs w:val="22"/>
                <w:u w:val="single"/>
              </w:rPr>
              <w:t>.</w:t>
            </w:r>
            <w:r w:rsidRPr="00BE30F6">
              <w:rPr>
                <w:b/>
                <w:bCs/>
                <w:sz w:val="22"/>
                <w:szCs w:val="22"/>
              </w:rPr>
              <w:t xml:space="preserve"> за 1-ое </w:t>
            </w:r>
            <w:proofErr w:type="spellStart"/>
            <w:r w:rsidRPr="00BE30F6">
              <w:rPr>
                <w:b/>
                <w:bCs/>
                <w:sz w:val="22"/>
                <w:szCs w:val="22"/>
              </w:rPr>
              <w:t>полуг</w:t>
            </w:r>
            <w:proofErr w:type="spellEnd"/>
            <w:r w:rsidRPr="00BE30F6">
              <w:rPr>
                <w:b/>
                <w:bCs/>
                <w:sz w:val="22"/>
                <w:szCs w:val="22"/>
              </w:rPr>
              <w:t xml:space="preserve"> 2017г.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BE30F6">
              <w:rPr>
                <w:b/>
                <w:bCs/>
                <w:sz w:val="22"/>
                <w:szCs w:val="22"/>
              </w:rPr>
              <w:t>Откл</w:t>
            </w:r>
            <w:proofErr w:type="spellEnd"/>
            <w:r w:rsidRPr="00BE30F6">
              <w:rPr>
                <w:b/>
                <w:bCs/>
                <w:sz w:val="22"/>
                <w:szCs w:val="22"/>
              </w:rPr>
              <w:t xml:space="preserve">. от прогноза на 1-ое </w:t>
            </w:r>
            <w:proofErr w:type="spellStart"/>
            <w:r w:rsidRPr="00BE30F6">
              <w:rPr>
                <w:b/>
                <w:bCs/>
                <w:sz w:val="22"/>
                <w:szCs w:val="22"/>
              </w:rPr>
              <w:t>полуг</w:t>
            </w:r>
            <w:proofErr w:type="spellEnd"/>
            <w:r w:rsidRPr="00BE30F6">
              <w:rPr>
                <w:b/>
                <w:bCs/>
                <w:sz w:val="22"/>
                <w:szCs w:val="22"/>
              </w:rPr>
              <w:t>. 2017г.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b/>
                <w:bCs/>
                <w:sz w:val="22"/>
                <w:szCs w:val="22"/>
              </w:rPr>
            </w:pPr>
            <w:r w:rsidRPr="00BE30F6">
              <w:rPr>
                <w:b/>
                <w:bCs/>
                <w:sz w:val="22"/>
                <w:szCs w:val="22"/>
              </w:rPr>
              <w:t xml:space="preserve">% исп. </w:t>
            </w:r>
            <w:proofErr w:type="spellStart"/>
            <w:r w:rsidRPr="00BE30F6">
              <w:rPr>
                <w:b/>
                <w:bCs/>
                <w:sz w:val="22"/>
                <w:szCs w:val="22"/>
              </w:rPr>
              <w:t>утвержд</w:t>
            </w:r>
            <w:proofErr w:type="spellEnd"/>
            <w:r w:rsidRPr="00BE30F6">
              <w:rPr>
                <w:b/>
                <w:bCs/>
                <w:sz w:val="22"/>
                <w:szCs w:val="22"/>
              </w:rPr>
              <w:t>. прогноза на 2017г.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D8441A">
            <w:pPr>
              <w:jc w:val="both"/>
              <w:rPr>
                <w:b/>
                <w:bCs/>
                <w:sz w:val="22"/>
                <w:szCs w:val="22"/>
              </w:rPr>
            </w:pPr>
            <w:r w:rsidRPr="00BE30F6">
              <w:rPr>
                <w:b/>
                <w:bCs/>
                <w:sz w:val="22"/>
                <w:szCs w:val="22"/>
              </w:rPr>
              <w:t>% исполнение прогноза</w:t>
            </w:r>
          </w:p>
        </w:tc>
      </w:tr>
      <w:tr w:rsidR="00BE30F6" w:rsidRPr="00BE30F6" w:rsidTr="00F22D1E">
        <w:trPr>
          <w:trHeight w:val="499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sz w:val="22"/>
                <w:szCs w:val="22"/>
              </w:rPr>
            </w:pPr>
            <w:r w:rsidRPr="00BE30F6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60 218,3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23 191,4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iCs/>
                <w:sz w:val="22"/>
                <w:szCs w:val="22"/>
              </w:rPr>
            </w:pPr>
            <w:r w:rsidRPr="00BE30F6">
              <w:rPr>
                <w:iCs/>
                <w:sz w:val="22"/>
                <w:szCs w:val="22"/>
              </w:rPr>
              <w:t>28 327,2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iCs/>
              </w:rPr>
            </w:pPr>
            <w:r w:rsidRPr="00BE30F6">
              <w:rPr>
                <w:iCs/>
              </w:rPr>
              <w:t>5 135,8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47,0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122,1</w:t>
            </w:r>
          </w:p>
        </w:tc>
      </w:tr>
      <w:tr w:rsidR="00BE30F6" w:rsidRPr="00BE30F6" w:rsidTr="00F22D1E">
        <w:trPr>
          <w:trHeight w:val="714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sz w:val="22"/>
                <w:szCs w:val="22"/>
              </w:rPr>
            </w:pPr>
            <w:r w:rsidRPr="00BE30F6">
              <w:rPr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87 000,0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36 250,0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iCs/>
                <w:sz w:val="22"/>
                <w:szCs w:val="22"/>
              </w:rPr>
            </w:pPr>
            <w:r w:rsidRPr="00BE30F6">
              <w:rPr>
                <w:iCs/>
                <w:sz w:val="22"/>
                <w:szCs w:val="22"/>
              </w:rPr>
              <w:t>34 212,3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iCs/>
                <w:sz w:val="22"/>
                <w:szCs w:val="22"/>
              </w:rPr>
            </w:pPr>
            <w:r w:rsidRPr="00BE30F6">
              <w:rPr>
                <w:iCs/>
                <w:sz w:val="22"/>
                <w:szCs w:val="22"/>
              </w:rPr>
              <w:t>-2 037,7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</w:pPr>
            <w:r w:rsidRPr="00BE30F6">
              <w:t>94,4</w:t>
            </w:r>
          </w:p>
        </w:tc>
      </w:tr>
      <w:tr w:rsidR="00BE30F6" w:rsidRPr="00BE30F6" w:rsidTr="00F22D1E">
        <w:trPr>
          <w:trHeight w:val="397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b/>
                <w:bCs/>
              </w:rPr>
            </w:pPr>
            <w:r w:rsidRPr="00BE30F6">
              <w:rPr>
                <w:b/>
                <w:bCs/>
              </w:rPr>
              <w:t xml:space="preserve">Всего доходов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szCs w:val="20"/>
              </w:rPr>
            </w:pPr>
            <w:r w:rsidRPr="00EC5739">
              <w:rPr>
                <w:b/>
                <w:bCs/>
                <w:szCs w:val="20"/>
              </w:rPr>
              <w:t>147 218,3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szCs w:val="22"/>
              </w:rPr>
            </w:pPr>
            <w:r w:rsidRPr="00EC5739">
              <w:rPr>
                <w:b/>
                <w:bCs/>
                <w:szCs w:val="22"/>
              </w:rPr>
              <w:t>59 441,4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iCs/>
                <w:szCs w:val="22"/>
              </w:rPr>
            </w:pPr>
            <w:r w:rsidRPr="00EC5739">
              <w:rPr>
                <w:b/>
                <w:bCs/>
                <w:iCs/>
                <w:szCs w:val="22"/>
              </w:rPr>
              <w:t>62 539,5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iCs/>
                <w:szCs w:val="22"/>
              </w:rPr>
            </w:pPr>
            <w:r w:rsidRPr="00EC5739">
              <w:rPr>
                <w:b/>
                <w:bCs/>
                <w:iCs/>
                <w:szCs w:val="22"/>
              </w:rPr>
              <w:t>3 098,1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</w:rPr>
            </w:pPr>
            <w:r w:rsidRPr="00EC5739">
              <w:rPr>
                <w:b/>
                <w:bCs/>
              </w:rPr>
              <w:t>42,5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</w:rPr>
            </w:pPr>
            <w:r w:rsidRPr="00EC5739">
              <w:rPr>
                <w:b/>
                <w:bCs/>
              </w:rPr>
              <w:t>105,2</w:t>
            </w:r>
          </w:p>
        </w:tc>
      </w:tr>
      <w:tr w:rsidR="00BE30F6" w:rsidRPr="00BE30F6" w:rsidTr="00F22D1E">
        <w:trPr>
          <w:trHeight w:val="355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BE30F6" w:rsidRDefault="00BE30F6" w:rsidP="00EC7868">
            <w:pPr>
              <w:jc w:val="both"/>
              <w:rPr>
                <w:b/>
                <w:bCs/>
              </w:rPr>
            </w:pPr>
            <w:r w:rsidRPr="00BE30F6">
              <w:rPr>
                <w:b/>
                <w:bCs/>
              </w:rPr>
              <w:t>Всего расходов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szCs w:val="20"/>
              </w:rPr>
            </w:pPr>
            <w:r w:rsidRPr="00EC5739">
              <w:rPr>
                <w:b/>
                <w:bCs/>
                <w:szCs w:val="20"/>
              </w:rPr>
              <w:t>153 218,3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szCs w:val="22"/>
              </w:rPr>
            </w:pPr>
            <w:r w:rsidRPr="00EC5739">
              <w:rPr>
                <w:b/>
                <w:bCs/>
                <w:szCs w:val="22"/>
              </w:rPr>
              <w:t>90 751,9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iCs/>
                <w:szCs w:val="22"/>
              </w:rPr>
            </w:pPr>
            <w:r w:rsidRPr="00EC5739">
              <w:rPr>
                <w:b/>
                <w:bCs/>
                <w:iCs/>
                <w:szCs w:val="22"/>
              </w:rPr>
              <w:t>82 315,0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  <w:iCs/>
              </w:rPr>
            </w:pPr>
            <w:r w:rsidRPr="00EC5739">
              <w:rPr>
                <w:b/>
                <w:bCs/>
                <w:iCs/>
              </w:rPr>
              <w:t>-8 436,9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</w:rPr>
            </w:pPr>
            <w:r w:rsidRPr="00EC5739">
              <w:rPr>
                <w:b/>
                <w:bCs/>
              </w:rPr>
              <w:t>53,7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F6" w:rsidRPr="00EC5739" w:rsidRDefault="00BE30F6" w:rsidP="00EC7868">
            <w:pPr>
              <w:jc w:val="both"/>
              <w:rPr>
                <w:b/>
                <w:bCs/>
              </w:rPr>
            </w:pPr>
            <w:r w:rsidRPr="00EC5739">
              <w:rPr>
                <w:b/>
                <w:bCs/>
              </w:rPr>
              <w:t>90,7</w:t>
            </w:r>
          </w:p>
        </w:tc>
      </w:tr>
    </w:tbl>
    <w:p w:rsidR="00FF7B57" w:rsidRDefault="00FF7B57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591CCC" w:rsidRDefault="00FF7B57" w:rsidP="00EC786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F7B57">
        <w:rPr>
          <w:sz w:val="28"/>
          <w:szCs w:val="28"/>
        </w:rPr>
        <w:t xml:space="preserve">Исходя из таблицы №1 </w:t>
      </w:r>
      <w:r>
        <w:rPr>
          <w:sz w:val="28"/>
          <w:szCs w:val="28"/>
        </w:rPr>
        <w:t>следует, что доходная часть исполнена на 105,2% с превышением прогнозного показателя на 3 098,1</w:t>
      </w:r>
      <w:r w:rsidRPr="00FF7B5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 исполнение расходной части составило 8</w:t>
      </w:r>
      <w:r w:rsidR="00736892">
        <w:rPr>
          <w:sz w:val="28"/>
          <w:szCs w:val="28"/>
        </w:rPr>
        <w:t xml:space="preserve">2 315,0 тыс. руб. или 90,7% от прогноза </w:t>
      </w:r>
      <w:r w:rsidR="00F92BED">
        <w:rPr>
          <w:sz w:val="28"/>
          <w:szCs w:val="28"/>
        </w:rPr>
        <w:t>на I</w:t>
      </w:r>
      <w:r w:rsidR="00736892" w:rsidRPr="00736892">
        <w:rPr>
          <w:sz w:val="28"/>
          <w:szCs w:val="28"/>
        </w:rPr>
        <w:t>-ое полугодие</w:t>
      </w:r>
      <w:r>
        <w:rPr>
          <w:sz w:val="28"/>
          <w:szCs w:val="28"/>
        </w:rPr>
        <w:t>.</w:t>
      </w:r>
      <w:r w:rsidRPr="00FF7B57">
        <w:rPr>
          <w:sz w:val="28"/>
          <w:szCs w:val="28"/>
        </w:rPr>
        <w:t xml:space="preserve"> При этом по отношению к утвержденным годовым показателям исполнение по доходам</w:t>
      </w:r>
      <w:r>
        <w:rPr>
          <w:sz w:val="28"/>
          <w:szCs w:val="28"/>
        </w:rPr>
        <w:t xml:space="preserve"> составило 42,5%</w:t>
      </w:r>
      <w:r w:rsidRPr="00FF7B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расходам </w:t>
      </w:r>
      <w:r w:rsidR="00294F08">
        <w:rPr>
          <w:sz w:val="28"/>
          <w:szCs w:val="28"/>
        </w:rPr>
        <w:t xml:space="preserve">- </w:t>
      </w:r>
      <w:r>
        <w:rPr>
          <w:sz w:val="28"/>
          <w:szCs w:val="28"/>
        </w:rPr>
        <w:t>53,7</w:t>
      </w:r>
      <w:r w:rsidRPr="00FF7B57">
        <w:rPr>
          <w:sz w:val="28"/>
          <w:szCs w:val="28"/>
        </w:rPr>
        <w:t>%.</w:t>
      </w:r>
    </w:p>
    <w:p w:rsidR="00D8441A" w:rsidRDefault="00D8441A" w:rsidP="00D8441A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sz w:val="28"/>
          <w:szCs w:val="28"/>
        </w:rPr>
      </w:pPr>
    </w:p>
    <w:p w:rsidR="00591CCC" w:rsidRPr="00591CCC" w:rsidRDefault="00591CCC" w:rsidP="00D8441A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591CCC">
        <w:rPr>
          <w:b/>
          <w:bCs/>
          <w:sz w:val="28"/>
          <w:szCs w:val="28"/>
        </w:rPr>
        <w:t xml:space="preserve">Исполнение доходной части </w:t>
      </w:r>
      <w:r w:rsidRPr="00591CCC">
        <w:rPr>
          <w:b/>
          <w:sz w:val="28"/>
          <w:szCs w:val="28"/>
        </w:rPr>
        <w:t>бюджета</w:t>
      </w:r>
    </w:p>
    <w:p w:rsidR="00254FF6" w:rsidRPr="00591CCC" w:rsidRDefault="00591CCC" w:rsidP="00D8441A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  <w:rPr>
          <w:color w:val="FF0000"/>
          <w:sz w:val="28"/>
          <w:szCs w:val="28"/>
        </w:rPr>
      </w:pPr>
      <w:r w:rsidRPr="00591CCC">
        <w:rPr>
          <w:b/>
          <w:sz w:val="28"/>
          <w:szCs w:val="28"/>
        </w:rPr>
        <w:t>Гулрыпшского района за</w:t>
      </w:r>
      <w:r>
        <w:rPr>
          <w:b/>
          <w:sz w:val="28"/>
          <w:szCs w:val="28"/>
        </w:rPr>
        <w:t xml:space="preserve"> </w:t>
      </w:r>
      <w:r w:rsidRPr="0059557B">
        <w:rPr>
          <w:b/>
          <w:sz w:val="28"/>
          <w:szCs w:val="28"/>
          <w:lang w:val="en-US"/>
        </w:rPr>
        <w:t>I</w:t>
      </w:r>
      <w:r w:rsidRPr="0059557B">
        <w:rPr>
          <w:b/>
          <w:sz w:val="28"/>
          <w:szCs w:val="28"/>
        </w:rPr>
        <w:t>-ое полугодие</w:t>
      </w:r>
      <w:r w:rsidRPr="00591CCC">
        <w:rPr>
          <w:b/>
          <w:bCs/>
          <w:sz w:val="28"/>
          <w:szCs w:val="28"/>
        </w:rPr>
        <w:t xml:space="preserve"> 2017 года</w:t>
      </w:r>
    </w:p>
    <w:p w:rsidR="00EC7868" w:rsidRDefault="00CF5396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63AE9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Pr="00863AE9">
        <w:rPr>
          <w:sz w:val="28"/>
          <w:szCs w:val="28"/>
        </w:rPr>
        <w:t xml:space="preserve"> поступившие за</w:t>
      </w:r>
      <w:r w:rsidRPr="00CF53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-ое полугодие</w:t>
      </w:r>
      <w:r w:rsidRPr="00863AE9">
        <w:rPr>
          <w:sz w:val="28"/>
          <w:szCs w:val="28"/>
        </w:rPr>
        <w:t xml:space="preserve"> 2017 года налоговые и неналоговые доходы составили</w:t>
      </w:r>
      <w:r>
        <w:rPr>
          <w:sz w:val="28"/>
          <w:szCs w:val="28"/>
        </w:rPr>
        <w:t xml:space="preserve"> 28 327,2 тыс. руб., </w:t>
      </w:r>
      <w:r w:rsidRPr="004E6AE3">
        <w:rPr>
          <w:sz w:val="28"/>
          <w:szCs w:val="28"/>
        </w:rPr>
        <w:t xml:space="preserve">относительно прогнозного показателя </w:t>
      </w:r>
      <w:r w:rsidR="00F92BED">
        <w:rPr>
          <w:sz w:val="28"/>
          <w:szCs w:val="28"/>
        </w:rPr>
        <w:t>(23 191,4 тыс. руб.)</w:t>
      </w:r>
      <w:r w:rsidR="00813555">
        <w:rPr>
          <w:sz w:val="28"/>
          <w:szCs w:val="28"/>
        </w:rPr>
        <w:t xml:space="preserve"> </w:t>
      </w:r>
      <w:r w:rsidRPr="004E6AE3">
        <w:rPr>
          <w:sz w:val="28"/>
          <w:szCs w:val="28"/>
        </w:rPr>
        <w:t xml:space="preserve">они </w:t>
      </w:r>
      <w:r w:rsidR="00426C59">
        <w:rPr>
          <w:sz w:val="28"/>
          <w:szCs w:val="28"/>
        </w:rPr>
        <w:t xml:space="preserve">перевыполнены </w:t>
      </w:r>
      <w:r w:rsidRPr="004E6AE3">
        <w:rPr>
          <w:sz w:val="28"/>
          <w:szCs w:val="28"/>
        </w:rPr>
        <w:t>на</w:t>
      </w:r>
      <w:r>
        <w:rPr>
          <w:sz w:val="28"/>
          <w:szCs w:val="28"/>
        </w:rPr>
        <w:t xml:space="preserve"> 5 135,8</w:t>
      </w:r>
      <w:r w:rsidRPr="00CF539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</w:t>
      </w:r>
      <w:r w:rsidRPr="00CF5396">
        <w:rPr>
          <w:sz w:val="28"/>
          <w:szCs w:val="28"/>
        </w:rPr>
        <w:t xml:space="preserve"> </w:t>
      </w:r>
      <w:r w:rsidRPr="004E6AE3">
        <w:rPr>
          <w:sz w:val="28"/>
          <w:szCs w:val="28"/>
        </w:rPr>
        <w:t>исполнение составило</w:t>
      </w:r>
      <w:r>
        <w:rPr>
          <w:sz w:val="28"/>
          <w:szCs w:val="28"/>
        </w:rPr>
        <w:t xml:space="preserve"> 122,1%.</w:t>
      </w:r>
      <w:r w:rsidRPr="00CF5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Удельный вес </w:t>
      </w:r>
      <w:r w:rsidR="0094228A">
        <w:rPr>
          <w:sz w:val="28"/>
          <w:szCs w:val="28"/>
        </w:rPr>
        <w:t xml:space="preserve">налоговых </w:t>
      </w:r>
      <w:r w:rsidR="0094228A">
        <w:rPr>
          <w:sz w:val="28"/>
          <w:szCs w:val="28"/>
        </w:rPr>
        <w:lastRenderedPageBreak/>
        <w:t>и неналоговых доходов</w:t>
      </w:r>
      <w:r>
        <w:rPr>
          <w:sz w:val="28"/>
          <w:szCs w:val="28"/>
        </w:rPr>
        <w:t xml:space="preserve"> составил 45,3%</w:t>
      </w:r>
      <w:r w:rsidR="0094228A">
        <w:rPr>
          <w:sz w:val="28"/>
          <w:szCs w:val="28"/>
        </w:rPr>
        <w:t xml:space="preserve"> от общего объема доходов</w:t>
      </w:r>
      <w:r>
        <w:rPr>
          <w:sz w:val="28"/>
          <w:szCs w:val="28"/>
        </w:rPr>
        <w:t>.</w:t>
      </w:r>
      <w:r w:rsidR="00460050">
        <w:rPr>
          <w:sz w:val="28"/>
          <w:szCs w:val="28"/>
        </w:rPr>
        <w:t xml:space="preserve"> </w:t>
      </w:r>
      <w:r w:rsidR="00813555">
        <w:rPr>
          <w:color w:val="000000" w:themeColor="text1"/>
          <w:sz w:val="28"/>
          <w:szCs w:val="28"/>
        </w:rPr>
        <w:t>Д</w:t>
      </w:r>
      <w:r w:rsidR="00813555" w:rsidRPr="003433EF">
        <w:rPr>
          <w:color w:val="000000" w:themeColor="text1"/>
          <w:sz w:val="28"/>
          <w:szCs w:val="28"/>
        </w:rPr>
        <w:t>отация из республиканского бюджета</w:t>
      </w:r>
      <w:r w:rsidR="00813555">
        <w:rPr>
          <w:color w:val="000000" w:themeColor="text1"/>
          <w:sz w:val="28"/>
          <w:szCs w:val="28"/>
        </w:rPr>
        <w:t xml:space="preserve"> составила 34 212,3 тыс. руб.</w:t>
      </w:r>
      <w:r w:rsidR="0094228A">
        <w:rPr>
          <w:color w:val="000000" w:themeColor="text1"/>
          <w:sz w:val="28"/>
          <w:szCs w:val="28"/>
        </w:rPr>
        <w:t>, ее</w:t>
      </w:r>
      <w:r w:rsidR="00100170">
        <w:rPr>
          <w:color w:val="000000" w:themeColor="text1"/>
          <w:sz w:val="28"/>
          <w:szCs w:val="28"/>
        </w:rPr>
        <w:t xml:space="preserve"> удельный </w:t>
      </w:r>
      <w:r w:rsidR="008C63DF">
        <w:rPr>
          <w:sz w:val="28"/>
          <w:szCs w:val="28"/>
        </w:rPr>
        <w:t xml:space="preserve">вес - </w:t>
      </w:r>
      <w:r w:rsidR="00100170">
        <w:rPr>
          <w:sz w:val="28"/>
          <w:szCs w:val="28"/>
        </w:rPr>
        <w:t>54,7%</w:t>
      </w:r>
      <w:r w:rsidR="0094228A" w:rsidRPr="0094228A">
        <w:t xml:space="preserve"> </w:t>
      </w:r>
      <w:r w:rsidR="0094228A" w:rsidRPr="0094228A">
        <w:rPr>
          <w:sz w:val="28"/>
          <w:szCs w:val="28"/>
        </w:rPr>
        <w:t>от общего объема доходов</w:t>
      </w:r>
      <w:r w:rsidR="00100170">
        <w:rPr>
          <w:sz w:val="28"/>
          <w:szCs w:val="28"/>
        </w:rPr>
        <w:t xml:space="preserve">. </w:t>
      </w:r>
      <w:r w:rsidR="00100170">
        <w:rPr>
          <w:color w:val="000000" w:themeColor="text1"/>
          <w:sz w:val="28"/>
          <w:szCs w:val="28"/>
        </w:rPr>
        <w:t>И</w:t>
      </w:r>
      <w:r w:rsidR="00E926D7">
        <w:rPr>
          <w:color w:val="000000" w:themeColor="text1"/>
          <w:sz w:val="28"/>
          <w:szCs w:val="28"/>
        </w:rPr>
        <w:t>з Р</w:t>
      </w:r>
      <w:r w:rsidR="00100170" w:rsidRPr="003433EF">
        <w:rPr>
          <w:color w:val="000000" w:themeColor="text1"/>
          <w:sz w:val="28"/>
          <w:szCs w:val="28"/>
        </w:rPr>
        <w:t>езервного фонда Президента</w:t>
      </w:r>
      <w:r w:rsidR="00100170">
        <w:rPr>
          <w:color w:val="000000" w:themeColor="text1"/>
          <w:sz w:val="28"/>
          <w:szCs w:val="28"/>
        </w:rPr>
        <w:t xml:space="preserve"> </w:t>
      </w:r>
      <w:r w:rsidR="007C573F">
        <w:rPr>
          <w:color w:val="000000" w:themeColor="text1"/>
          <w:sz w:val="28"/>
          <w:szCs w:val="28"/>
        </w:rPr>
        <w:t>Р</w:t>
      </w:r>
      <w:r w:rsidR="00E926D7">
        <w:rPr>
          <w:color w:val="000000" w:themeColor="text1"/>
          <w:sz w:val="28"/>
          <w:szCs w:val="28"/>
        </w:rPr>
        <w:t xml:space="preserve">еспублики Абхазия </w:t>
      </w:r>
      <w:r w:rsidR="008C28C4">
        <w:rPr>
          <w:color w:val="000000" w:themeColor="text1"/>
          <w:sz w:val="28"/>
          <w:szCs w:val="28"/>
        </w:rPr>
        <w:t>поступили средства в сумме</w:t>
      </w:r>
      <w:r w:rsidR="008C63DF">
        <w:rPr>
          <w:color w:val="000000" w:themeColor="text1"/>
          <w:sz w:val="28"/>
          <w:szCs w:val="28"/>
        </w:rPr>
        <w:t xml:space="preserve"> </w:t>
      </w:r>
      <w:r w:rsidR="00EC7868">
        <w:rPr>
          <w:color w:val="000000" w:themeColor="text1"/>
          <w:sz w:val="28"/>
          <w:szCs w:val="28"/>
        </w:rPr>
        <w:t>11 991,6 тыс. руб.</w:t>
      </w:r>
    </w:p>
    <w:p w:rsidR="00EC7868" w:rsidRDefault="00EC7868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2C2D54" w:rsidRPr="00EC7868" w:rsidRDefault="00264602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color w:val="000000" w:themeColor="text1"/>
          <w:sz w:val="28"/>
          <w:szCs w:val="28"/>
        </w:rPr>
        <w:t>Исполнение</w:t>
      </w:r>
      <w:r w:rsidR="002C2D54" w:rsidRPr="002C2D54">
        <w:rPr>
          <w:b/>
          <w:bCs/>
          <w:i/>
          <w:color w:val="000000" w:themeColor="text1"/>
          <w:sz w:val="28"/>
          <w:szCs w:val="28"/>
        </w:rPr>
        <w:t xml:space="preserve"> доходной ча</w:t>
      </w:r>
      <w:r w:rsidR="00610170">
        <w:rPr>
          <w:b/>
          <w:bCs/>
          <w:i/>
          <w:color w:val="000000" w:themeColor="text1"/>
          <w:sz w:val="28"/>
          <w:szCs w:val="28"/>
        </w:rPr>
        <w:t xml:space="preserve">сти бюджета Гулрыпшского района </w:t>
      </w:r>
      <w:r w:rsidR="002C2D54" w:rsidRPr="002C2D54">
        <w:rPr>
          <w:b/>
          <w:bCs/>
          <w:i/>
          <w:color w:val="000000" w:themeColor="text1"/>
          <w:sz w:val="28"/>
          <w:szCs w:val="28"/>
        </w:rPr>
        <w:t>за I-ое полугодие 2017 года пр</w:t>
      </w:r>
      <w:r w:rsidR="00ED1D27">
        <w:rPr>
          <w:b/>
          <w:bCs/>
          <w:i/>
          <w:color w:val="000000" w:themeColor="text1"/>
          <w:sz w:val="28"/>
          <w:szCs w:val="28"/>
        </w:rPr>
        <w:t>едставлено</w:t>
      </w:r>
      <w:r w:rsidR="002C2D54" w:rsidRPr="002C2D54">
        <w:rPr>
          <w:b/>
          <w:bCs/>
          <w:i/>
          <w:color w:val="000000" w:themeColor="text1"/>
          <w:sz w:val="28"/>
          <w:szCs w:val="28"/>
        </w:rPr>
        <w:t xml:space="preserve"> в таблице №2</w:t>
      </w:r>
      <w:r w:rsidR="00610170">
        <w:rPr>
          <w:b/>
          <w:bCs/>
          <w:i/>
          <w:color w:val="000000" w:themeColor="text1"/>
          <w:sz w:val="28"/>
          <w:szCs w:val="28"/>
        </w:rPr>
        <w:t>:</w:t>
      </w:r>
    </w:p>
    <w:p w:rsidR="00E250FA" w:rsidRPr="002C2D54" w:rsidRDefault="00E250FA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color w:val="000000" w:themeColor="text1"/>
          <w:sz w:val="28"/>
          <w:szCs w:val="28"/>
        </w:rPr>
      </w:pPr>
    </w:p>
    <w:p w:rsidR="00FE0E34" w:rsidRPr="00E250FA" w:rsidRDefault="00E250FA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C65906">
        <w:rPr>
          <w:bCs/>
        </w:rPr>
        <w:t xml:space="preserve">Табл.№2                                                                             </w:t>
      </w:r>
      <w:r>
        <w:rPr>
          <w:bCs/>
        </w:rPr>
        <w:t xml:space="preserve">                                                (тыс. руб.)</w:t>
      </w:r>
    </w:p>
    <w:tbl>
      <w:tblPr>
        <w:tblW w:w="109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39"/>
        <w:gridCol w:w="3325"/>
        <w:gridCol w:w="1157"/>
        <w:gridCol w:w="1157"/>
        <w:gridCol w:w="1280"/>
        <w:gridCol w:w="985"/>
        <w:gridCol w:w="876"/>
        <w:gridCol w:w="1024"/>
        <w:gridCol w:w="728"/>
      </w:tblGrid>
      <w:tr w:rsidR="00FE0E34" w:rsidRPr="00FE0E34" w:rsidTr="00F22D1E">
        <w:trPr>
          <w:trHeight w:val="10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</w:rPr>
            </w:pPr>
            <w:r w:rsidRPr="00FE0E34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417D93" w:rsidP="00EC7868">
            <w:pPr>
              <w:jc w:val="both"/>
              <w:rPr>
                <w:b/>
                <w:bCs/>
                <w:color w:val="000000"/>
                <w:sz w:val="18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6"/>
              </w:rPr>
              <w:t>Уточнен. годов. п</w:t>
            </w:r>
            <w:r w:rsidR="00FE0E34" w:rsidRPr="00FE0E34">
              <w:rPr>
                <w:b/>
                <w:bCs/>
                <w:color w:val="000000"/>
                <w:sz w:val="18"/>
                <w:szCs w:val="16"/>
              </w:rPr>
              <w:t xml:space="preserve">оказатель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417D93" w:rsidP="00EC7868">
            <w:pPr>
              <w:jc w:val="both"/>
              <w:rPr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6"/>
              </w:rPr>
              <w:t>Прогн</w:t>
            </w:r>
            <w:proofErr w:type="spellEnd"/>
            <w:r w:rsidR="00FE0E34" w:rsidRPr="00FE0E34">
              <w:rPr>
                <w:b/>
                <w:bCs/>
                <w:color w:val="000000"/>
                <w:sz w:val="18"/>
                <w:szCs w:val="16"/>
              </w:rPr>
              <w:t>.</w:t>
            </w:r>
            <w:r>
              <w:rPr>
                <w:b/>
                <w:bCs/>
                <w:color w:val="000000"/>
                <w:sz w:val="18"/>
                <w:szCs w:val="16"/>
              </w:rPr>
              <w:t xml:space="preserve"> на 1 полугодие 2017г.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6"/>
              </w:rPr>
            </w:pPr>
            <w:r w:rsidRPr="00FE0E34">
              <w:rPr>
                <w:b/>
                <w:bCs/>
                <w:color w:val="000000"/>
                <w:sz w:val="18"/>
                <w:szCs w:val="16"/>
              </w:rPr>
              <w:t>Исполнение за 1 полугодие 2017г.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417D93" w:rsidP="00EC7868">
            <w:pPr>
              <w:jc w:val="both"/>
              <w:rPr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6"/>
              </w:rPr>
              <w:t>Откло.</w:t>
            </w:r>
            <w:r w:rsidR="00FE0E34" w:rsidRPr="00FE0E34">
              <w:rPr>
                <w:b/>
                <w:bCs/>
                <w:color w:val="000000"/>
                <w:sz w:val="18"/>
                <w:szCs w:val="16"/>
              </w:rPr>
              <w:t>от</w:t>
            </w:r>
            <w:proofErr w:type="spellEnd"/>
            <w:r w:rsidR="00FE0E34" w:rsidRPr="00FE0E34">
              <w:rPr>
                <w:b/>
                <w:bCs/>
                <w:color w:val="000000"/>
                <w:sz w:val="18"/>
                <w:szCs w:val="16"/>
              </w:rPr>
              <w:t xml:space="preserve"> прогноза       +/_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6"/>
              </w:rPr>
            </w:pPr>
            <w:r w:rsidRPr="00FE0E34">
              <w:rPr>
                <w:b/>
                <w:bCs/>
                <w:color w:val="000000"/>
                <w:sz w:val="18"/>
                <w:szCs w:val="16"/>
              </w:rPr>
              <w:t>% исполнение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i/>
                <w:iCs/>
                <w:color w:val="000000"/>
                <w:sz w:val="18"/>
                <w:szCs w:val="16"/>
              </w:rPr>
            </w:pPr>
            <w:proofErr w:type="spellStart"/>
            <w:r w:rsidRPr="00FE0E34">
              <w:rPr>
                <w:b/>
                <w:bCs/>
                <w:i/>
                <w:iCs/>
                <w:color w:val="000000"/>
                <w:sz w:val="18"/>
                <w:szCs w:val="16"/>
              </w:rPr>
              <w:t>Исполн</w:t>
            </w:r>
            <w:proofErr w:type="spellEnd"/>
            <w:r w:rsidRPr="00FE0E34">
              <w:rPr>
                <w:b/>
                <w:bCs/>
                <w:i/>
                <w:iCs/>
                <w:color w:val="000000"/>
                <w:sz w:val="18"/>
                <w:szCs w:val="16"/>
              </w:rPr>
              <w:t xml:space="preserve">. по </w:t>
            </w:r>
            <w:proofErr w:type="spellStart"/>
            <w:r w:rsidRPr="00FE0E34">
              <w:rPr>
                <w:b/>
                <w:bCs/>
                <w:i/>
                <w:iCs/>
                <w:color w:val="000000"/>
                <w:sz w:val="18"/>
                <w:szCs w:val="16"/>
              </w:rPr>
              <w:t>отн</w:t>
            </w:r>
            <w:proofErr w:type="spellEnd"/>
            <w:r w:rsidRPr="00FE0E34">
              <w:rPr>
                <w:b/>
                <w:bCs/>
                <w:i/>
                <w:iCs/>
                <w:color w:val="000000"/>
                <w:sz w:val="18"/>
                <w:szCs w:val="16"/>
              </w:rPr>
              <w:t xml:space="preserve">. к годовому </w:t>
            </w:r>
            <w:proofErr w:type="spellStart"/>
            <w:r w:rsidRPr="00FE0E34">
              <w:rPr>
                <w:b/>
                <w:bCs/>
                <w:i/>
                <w:iCs/>
                <w:color w:val="000000"/>
                <w:sz w:val="18"/>
                <w:szCs w:val="16"/>
              </w:rPr>
              <w:t>показат</w:t>
            </w:r>
            <w:proofErr w:type="spellEnd"/>
            <w:r w:rsidRPr="00FE0E34">
              <w:rPr>
                <w:b/>
                <w:bCs/>
                <w:i/>
                <w:iCs/>
                <w:color w:val="000000"/>
                <w:sz w:val="18"/>
                <w:szCs w:val="16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6"/>
              </w:rPr>
            </w:pPr>
            <w:r w:rsidRPr="00FE0E34">
              <w:rPr>
                <w:b/>
                <w:bCs/>
                <w:color w:val="000000"/>
                <w:sz w:val="18"/>
                <w:szCs w:val="16"/>
              </w:rPr>
              <w:t>Удельный вес     %</w:t>
            </w:r>
          </w:p>
        </w:tc>
      </w:tr>
      <w:tr w:rsidR="00FE0E34" w:rsidRPr="00FE0E34" w:rsidTr="00F22D1E">
        <w:trPr>
          <w:trHeight w:val="15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EF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FE0E34" w:rsidRPr="00BF3BEF" w:rsidRDefault="00FE0E34" w:rsidP="00F2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8</w:t>
            </w:r>
          </w:p>
        </w:tc>
      </w:tr>
      <w:tr w:rsidR="00FE0E34" w:rsidRPr="00BF3BEF" w:rsidTr="00F22D1E">
        <w:trPr>
          <w:trHeight w:val="359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E34" w:rsidRPr="00BF3BEF" w:rsidRDefault="00FE0E34" w:rsidP="00F22D1E">
            <w:pPr>
              <w:jc w:val="center"/>
              <w:rPr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F3BEF" w:rsidRDefault="00FE0E34" w:rsidP="00EC7868">
            <w:pPr>
              <w:jc w:val="both"/>
              <w:rPr>
                <w:b/>
                <w:bCs/>
                <w:color w:val="000000"/>
                <w:sz w:val="20"/>
                <w:szCs w:val="18"/>
              </w:rPr>
            </w:pPr>
            <w:r w:rsidRPr="00BF3BEF">
              <w:rPr>
                <w:b/>
                <w:bCs/>
                <w:color w:val="000000"/>
                <w:sz w:val="20"/>
                <w:szCs w:val="18"/>
              </w:rPr>
              <w:t>НАЛОГОВЫЕ И НЕНАЛОГОВЫЕ ДОХОДЫ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D02BA" w:rsidRDefault="00FE0E34" w:rsidP="00BD02BA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BD02BA">
              <w:rPr>
                <w:b/>
                <w:bCs/>
                <w:color w:val="000000"/>
                <w:szCs w:val="18"/>
              </w:rPr>
              <w:t>60 218,3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D02BA" w:rsidRDefault="00FE0E34" w:rsidP="00BD02BA">
            <w:pPr>
              <w:jc w:val="center"/>
              <w:rPr>
                <w:b/>
                <w:bCs/>
                <w:color w:val="000000"/>
                <w:szCs w:val="16"/>
              </w:rPr>
            </w:pPr>
            <w:r w:rsidRPr="00BD02BA">
              <w:rPr>
                <w:b/>
                <w:bCs/>
                <w:color w:val="000000"/>
                <w:szCs w:val="16"/>
              </w:rPr>
              <w:t>23 191,4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D02BA" w:rsidRDefault="00FE0E34" w:rsidP="00BD02BA">
            <w:pPr>
              <w:jc w:val="center"/>
              <w:rPr>
                <w:b/>
                <w:bCs/>
                <w:color w:val="000000"/>
                <w:szCs w:val="16"/>
              </w:rPr>
            </w:pPr>
            <w:r w:rsidRPr="00BD02BA">
              <w:rPr>
                <w:b/>
                <w:bCs/>
                <w:color w:val="000000"/>
                <w:szCs w:val="16"/>
              </w:rPr>
              <w:t>28 327,2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D02BA" w:rsidRDefault="00FE0E34" w:rsidP="00BD02BA">
            <w:pPr>
              <w:jc w:val="center"/>
              <w:rPr>
                <w:b/>
                <w:bCs/>
                <w:color w:val="000000"/>
                <w:szCs w:val="16"/>
              </w:rPr>
            </w:pPr>
            <w:r w:rsidRPr="00BD02BA">
              <w:rPr>
                <w:b/>
                <w:bCs/>
                <w:color w:val="000000"/>
                <w:szCs w:val="16"/>
              </w:rPr>
              <w:t>5 135,8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D02BA" w:rsidRDefault="00FE0E34" w:rsidP="00BD02BA">
            <w:pPr>
              <w:jc w:val="center"/>
              <w:rPr>
                <w:b/>
                <w:bCs/>
                <w:color w:val="000000"/>
                <w:szCs w:val="16"/>
              </w:rPr>
            </w:pPr>
            <w:r w:rsidRPr="00BD02BA">
              <w:rPr>
                <w:b/>
                <w:bCs/>
                <w:color w:val="000000"/>
                <w:szCs w:val="16"/>
              </w:rPr>
              <w:t>122,1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D02BA" w:rsidRDefault="00FE0E34" w:rsidP="00BD02BA">
            <w:pPr>
              <w:jc w:val="center"/>
              <w:rPr>
                <w:b/>
                <w:bCs/>
                <w:color w:val="000000"/>
                <w:szCs w:val="16"/>
              </w:rPr>
            </w:pPr>
            <w:r w:rsidRPr="00BD02BA">
              <w:rPr>
                <w:b/>
                <w:bCs/>
                <w:color w:val="000000"/>
                <w:szCs w:val="16"/>
              </w:rPr>
              <w:t>47,0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D02BA" w:rsidRDefault="00FE0E34" w:rsidP="00BD02BA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BD02BA">
              <w:rPr>
                <w:b/>
                <w:bCs/>
                <w:color w:val="000000"/>
                <w:szCs w:val="20"/>
              </w:rPr>
              <w:t>45,3</w:t>
            </w:r>
          </w:p>
        </w:tc>
      </w:tr>
      <w:tr w:rsidR="00FE0E34" w:rsidRPr="00FE0E34" w:rsidTr="00F22D1E">
        <w:trPr>
          <w:trHeight w:val="2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35 245,0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12 972,5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14 118,8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1 146,3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108,8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40,1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49,8</w:t>
            </w: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Налог на прибыль предприятий и организаций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5 545,00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3 172,5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804,1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-2 368,4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5,7</w:t>
            </w:r>
          </w:p>
        </w:tc>
      </w:tr>
      <w:tr w:rsidR="00FE0E34" w:rsidRPr="00FE0E34" w:rsidTr="00F22D1E">
        <w:trPr>
          <w:trHeight w:val="5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Налог на прибыль организаций и предприятий, созданных в соответствии с законодательством 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5 527,50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3 162,5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772,6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-2 389,9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96,1</w:t>
            </w:r>
          </w:p>
        </w:tc>
      </w:tr>
      <w:tr w:rsidR="00FE0E34" w:rsidRPr="00FE0E34" w:rsidTr="00F22D1E">
        <w:trPr>
          <w:trHeight w:val="74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Налог на прибыль организаций и предприятий, созданных в соответствии с законодательством РА, от банковской деятельности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E0E34" w:rsidRPr="00FE0E34" w:rsidTr="00F22D1E">
        <w:trPr>
          <w:trHeight w:val="112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Налог на прибыль организаций, созданных в соответствии с законодательством иностранных государств, с доходов, не связанных с деятельностью в РА через постоянное представительство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3,9</w:t>
            </w:r>
          </w:p>
        </w:tc>
      </w:tr>
      <w:tr w:rsidR="00FE0E34" w:rsidRPr="00FE0E34" w:rsidTr="00F22D1E">
        <w:trPr>
          <w:trHeight w:val="2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 xml:space="preserve">Подоходный налог с физических лиц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29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FE0E34">
              <w:rPr>
                <w:b/>
                <w:bCs/>
                <w:color w:val="000000"/>
                <w:sz w:val="18"/>
                <w:szCs w:val="18"/>
              </w:rPr>
              <w:t>700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9 800,0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13 314,7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3 514,7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94,3</w:t>
            </w:r>
          </w:p>
        </w:tc>
      </w:tr>
      <w:tr w:rsidR="00211814" w:rsidRPr="00FE0E34" w:rsidTr="00F22D1E">
        <w:trPr>
          <w:trHeight w:val="130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Подоходный налог с физических лиц, имеющих постоянное место жительства в РА, с доходов, получаемых за выполнение трудовых или приравненных к ни обязанностей по месту основной работы (службы, учёбы)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E34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9 150,0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11 788,2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2 638,2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88,5</w:t>
            </w:r>
          </w:p>
        </w:tc>
      </w:tr>
      <w:tr w:rsidR="00FE0E34" w:rsidRPr="00FE0E34" w:rsidTr="00F22D1E">
        <w:trPr>
          <w:trHeight w:val="93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Подоходный налог с физических лиц, имеющих постоянное место жительства в РА, с доходов, получаемых от выполнения разовых работ (услуг) не по месту основной работы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539,6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539,6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20"/>
                <w:szCs w:val="20"/>
              </w:rPr>
            </w:pPr>
            <w:r w:rsidRPr="00FE0E34">
              <w:rPr>
                <w:color w:val="000000"/>
                <w:sz w:val="20"/>
                <w:szCs w:val="20"/>
              </w:rPr>
              <w:t>#####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20"/>
                <w:szCs w:val="20"/>
              </w:rPr>
            </w:pPr>
            <w:r w:rsidRPr="00FE0E34">
              <w:rPr>
                <w:color w:val="000000"/>
                <w:sz w:val="20"/>
                <w:szCs w:val="20"/>
              </w:rPr>
              <w:t>#####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4,1</w:t>
            </w:r>
          </w:p>
        </w:tc>
      </w:tr>
      <w:tr w:rsidR="00FE0E34" w:rsidRPr="00FE0E34" w:rsidTr="00F22D1E">
        <w:trPr>
          <w:trHeight w:val="5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Подоходный налог с физических лиц, с доходов, полученных в результате распределения прибыли организации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154,6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154,6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1,2</w:t>
            </w:r>
          </w:p>
        </w:tc>
      </w:tr>
      <w:tr w:rsidR="00412A9E" w:rsidRPr="00FE0E34" w:rsidTr="00F22D1E">
        <w:trPr>
          <w:trHeight w:val="74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Подоходный налог с физических лиц, имеющих постоянное место жительства в РА, с доходов от предпринимательской деятельности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1400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334,1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-315,9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2,5</w:t>
            </w:r>
          </w:p>
        </w:tc>
      </w:tr>
      <w:tr w:rsidR="007C768E" w:rsidRPr="00FE0E34" w:rsidTr="00F22D1E">
        <w:trPr>
          <w:trHeight w:val="93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Подоходный налог с физических лиц - иностранных граждан, не имеющих постоянное место жительства в РА, с доходов, полученных от источников в 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498,2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498,2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3,7</w:t>
            </w:r>
          </w:p>
        </w:tc>
      </w:tr>
      <w:tr w:rsidR="00953DA9" w:rsidRPr="00FE0E34" w:rsidTr="00F22D1E">
        <w:trPr>
          <w:trHeight w:val="74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РЕСПУБЛИКИ АБХАЗИЯ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10 838,9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3 908,9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7 192,7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3 283,8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184,0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66,4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25,4</w:t>
            </w:r>
          </w:p>
        </w:tc>
      </w:tr>
      <w:tr w:rsidR="00FE0E34" w:rsidRPr="00FE0E34" w:rsidTr="00F22D1E">
        <w:trPr>
          <w:trHeight w:val="38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E0E34">
              <w:rPr>
                <w:color w:val="000000"/>
                <w:sz w:val="18"/>
                <w:szCs w:val="18"/>
              </w:rPr>
              <w:t>838,9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3 908,9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7 192,7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3 283,8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184,0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66,4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 xml:space="preserve">ЗЕМЕЛЬНЫЙ НАЛОГ И НАЛОГИ НА ИМУЩЕСТВО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7 000,0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2 800,0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2 069,1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-730,9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73,9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29,6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7,3</w:t>
            </w:r>
          </w:p>
        </w:tc>
      </w:tr>
      <w:tr w:rsidR="00FE0E34" w:rsidRPr="00FE0E34" w:rsidTr="00F22D1E">
        <w:trPr>
          <w:trHeight w:val="23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Земельный налог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E34">
              <w:rPr>
                <w:color w:val="000000"/>
                <w:sz w:val="18"/>
                <w:szCs w:val="18"/>
              </w:rPr>
              <w:t>800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1 700,0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1 398,1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-301,9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67,6</w:t>
            </w:r>
          </w:p>
        </w:tc>
      </w:tr>
      <w:tr w:rsidR="00FE0E34" w:rsidRPr="00FE0E34" w:rsidTr="00F22D1E">
        <w:trPr>
          <w:trHeight w:val="23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Налог на имущество предприятий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E34">
              <w:rPr>
                <w:color w:val="000000"/>
                <w:sz w:val="18"/>
                <w:szCs w:val="18"/>
              </w:rPr>
              <w:t>200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1 100,0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671,0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-429,0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32,4</w:t>
            </w: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 xml:space="preserve">СПЕЦИАЛЬНЫЕ СИСТЕМЫ НАЛОГООБЛОЖЕНИЯ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2 690,0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1 040,0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1 497,6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457,6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144,0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55,7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5,3</w:t>
            </w: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Специальный налог на отдельные виды деятельности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E34">
              <w:rPr>
                <w:color w:val="000000"/>
                <w:sz w:val="18"/>
                <w:szCs w:val="18"/>
              </w:rPr>
              <w:t>690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1 497,6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457,6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0E34" w:rsidRPr="00FE0E34" w:rsidTr="00F22D1E">
        <w:trPr>
          <w:trHeight w:val="21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1 000,0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195,0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-405,0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32,5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19,5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0,7</w:t>
            </w:r>
          </w:p>
        </w:tc>
      </w:tr>
      <w:tr w:rsidR="00FE0E34" w:rsidRPr="00FE0E34" w:rsidTr="00F22D1E">
        <w:trPr>
          <w:trHeight w:val="74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Государственная пошлина за розничную торговлю алкогольными напитками, пивом, табачными изделиями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E34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195,0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-405,0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0E34" w:rsidRPr="00FE0E34" w:rsidTr="00F22D1E">
        <w:trPr>
          <w:trHeight w:val="74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2 500,0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1 400,0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2 848,8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1 448,8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203,5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114,0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10,1</w:t>
            </w:r>
          </w:p>
        </w:tc>
      </w:tr>
      <w:tr w:rsidR="00FE0E34" w:rsidRPr="00FE0E34" w:rsidTr="00F22D1E">
        <w:trPr>
          <w:trHeight w:val="5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FE0E34">
              <w:rPr>
                <w:b/>
                <w:bCs/>
                <w:color w:val="000000"/>
                <w:sz w:val="18"/>
                <w:szCs w:val="18"/>
              </w:rPr>
              <w:t>500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775,8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-124,2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27,2</w:t>
            </w:r>
          </w:p>
        </w:tc>
      </w:tr>
      <w:tr w:rsidR="00FE0E34" w:rsidRPr="00FE0E34" w:rsidTr="00F22D1E">
        <w:trPr>
          <w:trHeight w:val="74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Доходы в виде арендной или иной платы за передачу в возмездное пользование муниципального имущества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E34">
              <w:rPr>
                <w:color w:val="000000"/>
                <w:sz w:val="18"/>
                <w:szCs w:val="18"/>
              </w:rPr>
              <w:t>500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775,8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-124,2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27,2</w:t>
            </w:r>
          </w:p>
        </w:tc>
      </w:tr>
      <w:tr w:rsidR="00211814" w:rsidRPr="00FE0E34" w:rsidTr="00F22D1E">
        <w:trPr>
          <w:trHeight w:val="55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 xml:space="preserve">Доходы, полученные от приватизации государственной собственности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FE0E34">
              <w:rPr>
                <w:b/>
                <w:bCs/>
                <w:color w:val="000000"/>
                <w:sz w:val="18"/>
                <w:szCs w:val="18"/>
              </w:rPr>
              <w:t>000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2 073,0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1 573,0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72,8</w:t>
            </w: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Доходы, полученные от приватизации муниципальной собственности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E34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2 073,0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1 573,0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0E34" w:rsidRPr="00FE0E34" w:rsidTr="00F22D1E">
        <w:trPr>
          <w:trHeight w:val="5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500,0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245,0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-5,0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98,0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D8441A">
              <w:rPr>
                <w:b/>
                <w:bCs/>
                <w:color w:val="000000"/>
                <w:sz w:val="22"/>
                <w:szCs w:val="18"/>
              </w:rPr>
              <w:t>49,0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D8441A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D8441A">
              <w:rPr>
                <w:b/>
                <w:bCs/>
                <w:color w:val="000000"/>
                <w:sz w:val="22"/>
                <w:szCs w:val="16"/>
              </w:rPr>
              <w:t>0,9</w:t>
            </w:r>
          </w:p>
        </w:tc>
      </w:tr>
      <w:tr w:rsidR="00FE0E34" w:rsidRPr="00FE0E34" w:rsidTr="00F22D1E">
        <w:trPr>
          <w:trHeight w:val="5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Доходы от реализации имущества, находящегося в муниципальной собственности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70,1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70,1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28,6</w:t>
            </w:r>
          </w:p>
        </w:tc>
      </w:tr>
      <w:tr w:rsidR="00FE0E34" w:rsidRPr="00FE0E34" w:rsidTr="00F22D1E">
        <w:trPr>
          <w:trHeight w:val="5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Доходы от продажи гражданам в частную собственность жилья из муниципального жилищного фонда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500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174,9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71,4</w:t>
            </w: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ПЛАТЕЖИ ЗА ПОЛЬЗОВАНИЕ ПРИРОДНЫМИ РЕСУРСАМИ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244,4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120,0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14,3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-105,7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11,9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5,9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0,1</w:t>
            </w:r>
          </w:p>
        </w:tc>
      </w:tr>
      <w:tr w:rsidR="00FE0E34" w:rsidRPr="00FE0E34" w:rsidTr="00F22D1E">
        <w:trPr>
          <w:trHeight w:val="3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Платежи за пользование лесным фондом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244,4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-105,7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200,0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100,0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133,9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33,9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133,9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67,0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0,5</w:t>
            </w:r>
          </w:p>
        </w:tc>
      </w:tr>
      <w:tr w:rsidR="00FE0E34" w:rsidRPr="00FE0E34" w:rsidTr="00F22D1E">
        <w:trPr>
          <w:trHeight w:val="3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Иные административные платежи и сборы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200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133,9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C768E" w:rsidRPr="00FE0E34" w:rsidTr="00F22D1E">
        <w:trPr>
          <w:trHeight w:val="50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Платеж за размещение наружной рекламы в виде отдельно стоящих конструкций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200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133,9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0E34" w:rsidRPr="00FE0E34" w:rsidTr="00F22D1E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12,0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12,0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BF3BEF">
              <w:rPr>
                <w:b/>
                <w:bCs/>
                <w:color w:val="000000"/>
                <w:sz w:val="22"/>
                <w:szCs w:val="18"/>
              </w:rPr>
              <w:t>######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BF3BEF" w:rsidRDefault="00FE0E34" w:rsidP="00BD02BA">
            <w:pPr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 w:rsidRPr="00BF3BEF">
              <w:rPr>
                <w:b/>
                <w:bCs/>
                <w:color w:val="000000"/>
                <w:sz w:val="22"/>
                <w:szCs w:val="16"/>
              </w:rPr>
              <w:t>0,0</w:t>
            </w:r>
          </w:p>
        </w:tc>
      </w:tr>
      <w:tr w:rsidR="00953DA9" w:rsidRPr="00FE0E34" w:rsidTr="00F22D1E">
        <w:trPr>
          <w:trHeight w:val="23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 xml:space="preserve">Невыясненные поступления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0E34" w:rsidRPr="00FE0E34" w:rsidTr="00F22D1E">
        <w:trPr>
          <w:trHeight w:val="23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Другие неналоговые доходы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11814" w:rsidRPr="00FE0E34" w:rsidTr="00F22D1E">
        <w:trPr>
          <w:trHeight w:val="4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>87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FE0E34"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36 250,0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46 203,9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9 953,9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Межбюджетные трансферты из республиканского бюджета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87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FE0E34">
              <w:rPr>
                <w:b/>
                <w:bCs/>
                <w:color w:val="000000"/>
                <w:sz w:val="18"/>
                <w:szCs w:val="18"/>
              </w:rPr>
              <w:t>000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36 250,0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46 203,9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0E34">
              <w:rPr>
                <w:b/>
                <w:bCs/>
                <w:color w:val="000000"/>
                <w:sz w:val="16"/>
                <w:szCs w:val="16"/>
              </w:rPr>
              <w:t>9 953,9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0E34" w:rsidRPr="00FE0E34" w:rsidTr="00F22D1E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Дотации местным бюджетам из республиканского бюджета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87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E0E34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36 250,0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34 212,3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0A7A6F" w:rsidP="00BD02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-2 037,7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>54,7</w:t>
            </w:r>
          </w:p>
        </w:tc>
      </w:tr>
      <w:tr w:rsidR="00FE0E34" w:rsidRPr="00FE0E34" w:rsidTr="00F22D1E">
        <w:trPr>
          <w:trHeight w:val="23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>147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0E34">
              <w:rPr>
                <w:b/>
                <w:bCs/>
                <w:color w:val="000000"/>
                <w:sz w:val="20"/>
                <w:szCs w:val="20"/>
              </w:rPr>
              <w:t>218,3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>59 441,4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>62 539,5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3 098,1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0E34">
              <w:rPr>
                <w:b/>
                <w:bCs/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0E34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0E34" w:rsidRPr="00FE0E34" w:rsidTr="00F22D1E">
        <w:trPr>
          <w:trHeight w:val="51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F22D1E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EC7868">
            <w:pPr>
              <w:jc w:val="both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 xml:space="preserve">Иные межбюджетные трансферты, предоставляемые из республиканского бюджета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FE0E34">
              <w:rPr>
                <w:color w:val="000000"/>
                <w:sz w:val="16"/>
                <w:szCs w:val="16"/>
              </w:rPr>
              <w:t>11 991,6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E86220" w:rsidP="00BD02BA">
            <w:pPr>
              <w:jc w:val="center"/>
              <w:rPr>
                <w:color w:val="000000"/>
                <w:sz w:val="16"/>
                <w:szCs w:val="16"/>
              </w:rPr>
            </w:pPr>
            <w:r w:rsidRPr="00E86220">
              <w:rPr>
                <w:color w:val="000000"/>
                <w:sz w:val="16"/>
                <w:szCs w:val="16"/>
              </w:rPr>
              <w:t>11 991,6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  <w:r w:rsidRPr="00FE0E34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34" w:rsidRPr="00FE0E34" w:rsidRDefault="00FE0E34" w:rsidP="00BD02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F1A03" w:rsidRDefault="00BF1A03" w:rsidP="00BD02BA">
      <w:pPr>
        <w:spacing w:line="360" w:lineRule="auto"/>
        <w:jc w:val="right"/>
      </w:pPr>
    </w:p>
    <w:p w:rsidR="00B50287" w:rsidRDefault="00CD5175" w:rsidP="00EC7868">
      <w:pPr>
        <w:spacing w:line="360" w:lineRule="auto"/>
        <w:jc w:val="both"/>
        <w:rPr>
          <w:sz w:val="28"/>
          <w:szCs w:val="28"/>
        </w:rPr>
      </w:pPr>
      <w:r>
        <w:t xml:space="preserve">           </w:t>
      </w:r>
      <w:r w:rsidR="0000229D" w:rsidRPr="00C20B26">
        <w:rPr>
          <w:sz w:val="28"/>
          <w:szCs w:val="28"/>
        </w:rPr>
        <w:t>Анализ исполнения доходной части бюджета</w:t>
      </w:r>
      <w:r w:rsidR="0000229D" w:rsidRPr="00C20B26">
        <w:rPr>
          <w:b/>
          <w:sz w:val="28"/>
          <w:szCs w:val="28"/>
        </w:rPr>
        <w:t xml:space="preserve"> </w:t>
      </w:r>
      <w:r w:rsidR="0000229D" w:rsidRPr="00C20B26">
        <w:rPr>
          <w:sz w:val="28"/>
          <w:szCs w:val="28"/>
        </w:rPr>
        <w:t xml:space="preserve">Гулрыпшского района за </w:t>
      </w:r>
      <w:r w:rsidR="0000229D">
        <w:rPr>
          <w:sz w:val="28"/>
          <w:szCs w:val="28"/>
          <w:lang w:val="en-US"/>
        </w:rPr>
        <w:t>I</w:t>
      </w:r>
      <w:r w:rsidR="0000229D">
        <w:rPr>
          <w:sz w:val="28"/>
          <w:szCs w:val="28"/>
        </w:rPr>
        <w:t>-ое полугодие</w:t>
      </w:r>
      <w:r w:rsidR="0000229D" w:rsidRPr="00367393">
        <w:rPr>
          <w:sz w:val="28"/>
          <w:szCs w:val="28"/>
        </w:rPr>
        <w:t xml:space="preserve"> 201</w:t>
      </w:r>
      <w:r w:rsidR="0000229D">
        <w:rPr>
          <w:sz w:val="28"/>
          <w:szCs w:val="28"/>
        </w:rPr>
        <w:t xml:space="preserve">7 </w:t>
      </w:r>
      <w:r w:rsidR="0000229D" w:rsidRPr="00367393">
        <w:rPr>
          <w:sz w:val="28"/>
          <w:szCs w:val="28"/>
        </w:rPr>
        <w:t>год</w:t>
      </w:r>
      <w:r w:rsidR="0000229D">
        <w:rPr>
          <w:sz w:val="28"/>
          <w:szCs w:val="28"/>
        </w:rPr>
        <w:t>а</w:t>
      </w:r>
      <w:r w:rsidR="0000229D" w:rsidRPr="00C20B26">
        <w:rPr>
          <w:sz w:val="28"/>
          <w:szCs w:val="28"/>
        </w:rPr>
        <w:t xml:space="preserve"> (Таблица №</w:t>
      </w:r>
      <w:r w:rsidR="0000229D">
        <w:rPr>
          <w:sz w:val="28"/>
          <w:szCs w:val="28"/>
        </w:rPr>
        <w:t>2</w:t>
      </w:r>
      <w:r w:rsidR="0000229D" w:rsidRPr="00C20B26">
        <w:rPr>
          <w:sz w:val="28"/>
          <w:szCs w:val="28"/>
        </w:rPr>
        <w:t>)</w:t>
      </w:r>
      <w:r w:rsidR="00977130">
        <w:rPr>
          <w:sz w:val="28"/>
          <w:szCs w:val="28"/>
        </w:rPr>
        <w:t xml:space="preserve"> свидетельствует</w:t>
      </w:r>
      <w:r w:rsidR="0000229D" w:rsidRPr="00C20B26">
        <w:rPr>
          <w:sz w:val="28"/>
          <w:szCs w:val="28"/>
        </w:rPr>
        <w:t>, чт</w:t>
      </w:r>
      <w:r w:rsidR="0000229D">
        <w:rPr>
          <w:sz w:val="28"/>
          <w:szCs w:val="28"/>
        </w:rPr>
        <w:t xml:space="preserve">о прогнозируемый объем </w:t>
      </w:r>
      <w:r w:rsidR="0000229D" w:rsidRPr="0000229D">
        <w:rPr>
          <w:sz w:val="28"/>
          <w:szCs w:val="28"/>
        </w:rPr>
        <w:t>доходов исполнен по следующим видам доходов</w:t>
      </w:r>
      <w:r w:rsidR="00303968">
        <w:rPr>
          <w:sz w:val="28"/>
          <w:szCs w:val="28"/>
        </w:rPr>
        <w:t>:</w:t>
      </w:r>
    </w:p>
    <w:p w:rsidR="00876632" w:rsidRPr="00B50287" w:rsidRDefault="00B50287" w:rsidP="00EC786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3621C">
        <w:rPr>
          <w:b/>
          <w:i/>
          <w:sz w:val="28"/>
          <w:szCs w:val="28"/>
        </w:rPr>
        <w:t>П</w:t>
      </w:r>
      <w:r w:rsidR="00303968" w:rsidRPr="00E3621C">
        <w:rPr>
          <w:b/>
          <w:i/>
          <w:sz w:val="28"/>
          <w:szCs w:val="28"/>
        </w:rPr>
        <w:t xml:space="preserve">одоходный налог с физических </w:t>
      </w:r>
      <w:r w:rsidRPr="00E3621C">
        <w:rPr>
          <w:b/>
          <w:i/>
          <w:sz w:val="28"/>
          <w:szCs w:val="28"/>
        </w:rPr>
        <w:t>лиц</w:t>
      </w:r>
      <w:r w:rsidRPr="00B5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</w:t>
      </w:r>
      <w:r w:rsidRPr="00B50287">
        <w:rPr>
          <w:sz w:val="28"/>
          <w:szCs w:val="28"/>
        </w:rPr>
        <w:t>13</w:t>
      </w:r>
      <w:r>
        <w:rPr>
          <w:sz w:val="28"/>
          <w:szCs w:val="28"/>
        </w:rPr>
        <w:t> 314,7 тыс.</w:t>
      </w:r>
      <w:r w:rsidRPr="00B50287">
        <w:rPr>
          <w:sz w:val="28"/>
          <w:szCs w:val="28"/>
        </w:rPr>
        <w:t xml:space="preserve"> </w:t>
      </w:r>
      <w:r w:rsidR="00303968" w:rsidRPr="00B50287">
        <w:rPr>
          <w:sz w:val="28"/>
          <w:szCs w:val="28"/>
        </w:rPr>
        <w:t xml:space="preserve">руб., </w:t>
      </w:r>
      <w:r w:rsidR="00BC629F">
        <w:rPr>
          <w:sz w:val="28"/>
          <w:szCs w:val="28"/>
        </w:rPr>
        <w:t>при прогнозе</w:t>
      </w:r>
      <w:r w:rsidR="009E2B37">
        <w:rPr>
          <w:sz w:val="28"/>
          <w:szCs w:val="28"/>
        </w:rPr>
        <w:t xml:space="preserve"> </w:t>
      </w:r>
      <w:r w:rsidR="009E2B37" w:rsidRPr="009E2B37">
        <w:rPr>
          <w:sz w:val="28"/>
          <w:szCs w:val="28"/>
        </w:rPr>
        <w:t>9 800,0</w:t>
      </w:r>
      <w:r w:rsidR="009E2B37" w:rsidRPr="009E2B37">
        <w:t xml:space="preserve"> </w:t>
      </w:r>
      <w:r w:rsidR="009E2B37" w:rsidRPr="009E2B37">
        <w:rPr>
          <w:sz w:val="28"/>
          <w:szCs w:val="28"/>
        </w:rPr>
        <w:t>тыс. руб.</w:t>
      </w:r>
      <w:r w:rsidR="00832FED">
        <w:rPr>
          <w:sz w:val="28"/>
          <w:szCs w:val="28"/>
        </w:rPr>
        <w:t xml:space="preserve"> поступило</w:t>
      </w:r>
      <w:r w:rsidR="009E2B37">
        <w:rPr>
          <w:sz w:val="28"/>
          <w:szCs w:val="28"/>
        </w:rPr>
        <w:t xml:space="preserve"> </w:t>
      </w:r>
      <w:r w:rsidR="00AF6045">
        <w:rPr>
          <w:sz w:val="28"/>
          <w:szCs w:val="28"/>
        </w:rPr>
        <w:t>больше ожидаемого</w:t>
      </w:r>
      <w:r w:rsidR="00BC629F">
        <w:rPr>
          <w:sz w:val="28"/>
          <w:szCs w:val="28"/>
        </w:rPr>
        <w:t xml:space="preserve"> на 3 514,7 тыс. руб.</w:t>
      </w:r>
      <w:r w:rsidR="00AF6045">
        <w:rPr>
          <w:sz w:val="28"/>
          <w:szCs w:val="28"/>
        </w:rPr>
        <w:t xml:space="preserve">, исполнение - </w:t>
      </w:r>
      <w:r w:rsidR="00303968" w:rsidRPr="00B50287">
        <w:rPr>
          <w:sz w:val="28"/>
          <w:szCs w:val="28"/>
        </w:rPr>
        <w:t>135,9%;</w:t>
      </w:r>
    </w:p>
    <w:p w:rsidR="00876632" w:rsidRDefault="00303968" w:rsidP="00EC786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621C">
        <w:rPr>
          <w:b/>
          <w:i/>
          <w:sz w:val="28"/>
          <w:szCs w:val="28"/>
        </w:rPr>
        <w:t>Налог на добавленную стоимость</w:t>
      </w:r>
      <w:r w:rsidRPr="00E3621C">
        <w:rPr>
          <w:i/>
          <w:sz w:val="28"/>
          <w:szCs w:val="28"/>
        </w:rPr>
        <w:t xml:space="preserve"> </w:t>
      </w:r>
      <w:r w:rsidRPr="00E3621C">
        <w:rPr>
          <w:b/>
          <w:i/>
          <w:sz w:val="28"/>
          <w:szCs w:val="28"/>
        </w:rPr>
        <w:t>на товары (работы, услуги), реализуемые на территории Р</w:t>
      </w:r>
      <w:r w:rsidR="00D36F68">
        <w:rPr>
          <w:b/>
          <w:i/>
          <w:sz w:val="28"/>
          <w:szCs w:val="28"/>
        </w:rPr>
        <w:t xml:space="preserve">еспублики </w:t>
      </w:r>
      <w:r w:rsidRPr="00E3621C">
        <w:rPr>
          <w:b/>
          <w:i/>
          <w:sz w:val="28"/>
          <w:szCs w:val="28"/>
        </w:rPr>
        <w:t>А</w:t>
      </w:r>
      <w:r w:rsidR="00D36F68">
        <w:rPr>
          <w:b/>
          <w:i/>
          <w:sz w:val="28"/>
          <w:szCs w:val="28"/>
        </w:rPr>
        <w:t>бхазия</w:t>
      </w:r>
      <w:r w:rsidRPr="00392A46">
        <w:t xml:space="preserve"> </w:t>
      </w:r>
      <w:r w:rsidR="00265A3A">
        <w:rPr>
          <w:sz w:val="28"/>
          <w:szCs w:val="28"/>
        </w:rPr>
        <w:t xml:space="preserve">составил </w:t>
      </w:r>
      <w:r>
        <w:rPr>
          <w:sz w:val="28"/>
          <w:szCs w:val="28"/>
        </w:rPr>
        <w:t>7 192,7 тыс. руб., при п</w:t>
      </w:r>
      <w:r w:rsidR="00ED66B2">
        <w:rPr>
          <w:sz w:val="28"/>
          <w:szCs w:val="28"/>
        </w:rPr>
        <w:t>рогнозе</w:t>
      </w:r>
      <w:r>
        <w:rPr>
          <w:sz w:val="28"/>
          <w:szCs w:val="28"/>
        </w:rPr>
        <w:t xml:space="preserve"> 3 908,9 тыс. руб.</w:t>
      </w:r>
      <w:r w:rsidR="00AF6045">
        <w:rPr>
          <w:sz w:val="28"/>
          <w:szCs w:val="28"/>
        </w:rPr>
        <w:t>,</w:t>
      </w:r>
      <w:r w:rsidR="00D36F68">
        <w:rPr>
          <w:sz w:val="28"/>
          <w:szCs w:val="28"/>
        </w:rPr>
        <w:t xml:space="preserve"> поступило больше ожидаемого</w:t>
      </w:r>
      <w:r w:rsidR="00AF6045">
        <w:rPr>
          <w:sz w:val="28"/>
          <w:szCs w:val="28"/>
        </w:rPr>
        <w:t xml:space="preserve"> </w:t>
      </w:r>
      <w:r w:rsidR="00D36F68">
        <w:rPr>
          <w:sz w:val="28"/>
          <w:szCs w:val="28"/>
        </w:rPr>
        <w:t xml:space="preserve">на 3 283,1 тыс. руб., </w:t>
      </w:r>
      <w:r w:rsidR="00AF6045">
        <w:rPr>
          <w:sz w:val="28"/>
          <w:szCs w:val="28"/>
        </w:rPr>
        <w:t>исполнение -</w:t>
      </w:r>
      <w:r w:rsidR="000A3139">
        <w:rPr>
          <w:sz w:val="28"/>
          <w:szCs w:val="28"/>
        </w:rPr>
        <w:t xml:space="preserve"> 184,0%;</w:t>
      </w:r>
    </w:p>
    <w:p w:rsidR="000A3139" w:rsidRDefault="000A3139" w:rsidP="00EC786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621C">
        <w:rPr>
          <w:b/>
          <w:i/>
          <w:sz w:val="28"/>
          <w:szCs w:val="28"/>
        </w:rPr>
        <w:t>Специальный налог</w:t>
      </w:r>
      <w:r w:rsidRPr="00E3621C">
        <w:rPr>
          <w:i/>
          <w:sz w:val="28"/>
          <w:szCs w:val="28"/>
        </w:rPr>
        <w:t xml:space="preserve"> </w:t>
      </w:r>
      <w:r w:rsidRPr="00E3621C">
        <w:rPr>
          <w:b/>
          <w:i/>
          <w:sz w:val="28"/>
          <w:szCs w:val="28"/>
        </w:rPr>
        <w:t>на отдельные виды деятельности</w:t>
      </w:r>
      <w:r w:rsidRPr="00092354">
        <w:t xml:space="preserve"> </w:t>
      </w:r>
      <w:r w:rsidRPr="00092354">
        <w:rPr>
          <w:sz w:val="28"/>
          <w:szCs w:val="28"/>
        </w:rPr>
        <w:t xml:space="preserve">поступил </w:t>
      </w:r>
      <w:r w:rsidR="00351D82">
        <w:rPr>
          <w:sz w:val="28"/>
          <w:szCs w:val="28"/>
        </w:rPr>
        <w:t xml:space="preserve">в сумме </w:t>
      </w:r>
      <w:r w:rsidR="00E03924">
        <w:rPr>
          <w:sz w:val="28"/>
          <w:szCs w:val="28"/>
        </w:rPr>
        <w:t xml:space="preserve">1 497,6 тыс. руб., </w:t>
      </w:r>
      <w:r w:rsidR="00EC1095">
        <w:rPr>
          <w:sz w:val="28"/>
          <w:szCs w:val="28"/>
        </w:rPr>
        <w:t>при п</w:t>
      </w:r>
      <w:r w:rsidR="00ED66B2">
        <w:rPr>
          <w:sz w:val="28"/>
          <w:szCs w:val="28"/>
        </w:rPr>
        <w:t>рогнозе</w:t>
      </w:r>
      <w:r w:rsidR="00EC1095">
        <w:rPr>
          <w:sz w:val="28"/>
          <w:szCs w:val="28"/>
        </w:rPr>
        <w:t xml:space="preserve"> </w:t>
      </w:r>
      <w:r w:rsidR="00EC1095" w:rsidRPr="00EC1095">
        <w:rPr>
          <w:sz w:val="28"/>
          <w:szCs w:val="28"/>
        </w:rPr>
        <w:t>1 040,0</w:t>
      </w:r>
      <w:r w:rsidR="00EC1095">
        <w:rPr>
          <w:sz w:val="28"/>
          <w:szCs w:val="28"/>
        </w:rPr>
        <w:t xml:space="preserve"> </w:t>
      </w:r>
      <w:r w:rsidR="00EC1095" w:rsidRPr="00EC1095">
        <w:rPr>
          <w:sz w:val="28"/>
          <w:szCs w:val="28"/>
        </w:rPr>
        <w:t>тыс. руб</w:t>
      </w:r>
      <w:r w:rsidR="00EC1095">
        <w:rPr>
          <w:sz w:val="28"/>
          <w:szCs w:val="28"/>
        </w:rPr>
        <w:t xml:space="preserve">., </w:t>
      </w:r>
      <w:r w:rsidR="00E03924">
        <w:rPr>
          <w:sz w:val="28"/>
          <w:szCs w:val="28"/>
        </w:rPr>
        <w:t>б</w:t>
      </w:r>
      <w:r w:rsidRPr="00092354">
        <w:rPr>
          <w:sz w:val="28"/>
          <w:szCs w:val="28"/>
        </w:rPr>
        <w:t>ольше ожидаемого</w:t>
      </w:r>
      <w:r w:rsidR="00ED66B2">
        <w:rPr>
          <w:sz w:val="28"/>
          <w:szCs w:val="28"/>
        </w:rPr>
        <w:t xml:space="preserve"> на 457,6 тыс. руб.</w:t>
      </w:r>
      <w:r w:rsidRPr="00092354">
        <w:rPr>
          <w:sz w:val="28"/>
          <w:szCs w:val="28"/>
        </w:rPr>
        <w:t>, исполнени</w:t>
      </w:r>
      <w:r w:rsidR="00AF6045">
        <w:rPr>
          <w:sz w:val="28"/>
          <w:szCs w:val="28"/>
        </w:rPr>
        <w:t>е -</w:t>
      </w:r>
      <w:r>
        <w:rPr>
          <w:sz w:val="28"/>
          <w:szCs w:val="28"/>
        </w:rPr>
        <w:t xml:space="preserve"> 144,0%</w:t>
      </w:r>
      <w:r w:rsidR="007B76E7">
        <w:rPr>
          <w:sz w:val="28"/>
          <w:szCs w:val="28"/>
        </w:rPr>
        <w:t>;</w:t>
      </w:r>
    </w:p>
    <w:p w:rsidR="00C87B57" w:rsidRDefault="00C87B57" w:rsidP="00EC786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621C">
        <w:rPr>
          <w:b/>
          <w:i/>
          <w:sz w:val="28"/>
          <w:szCs w:val="28"/>
        </w:rPr>
        <w:t>Доходы, полученные от приватизации государственной собственности</w:t>
      </w:r>
      <w:r>
        <w:rPr>
          <w:b/>
          <w:sz w:val="28"/>
          <w:szCs w:val="28"/>
        </w:rPr>
        <w:t xml:space="preserve"> </w:t>
      </w:r>
      <w:r w:rsidRPr="00C87B57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2 073,0 тыс. руб.</w:t>
      </w:r>
      <w:r w:rsidR="003D2D2B">
        <w:rPr>
          <w:sz w:val="28"/>
          <w:szCs w:val="28"/>
        </w:rPr>
        <w:t xml:space="preserve"> при прогнозе 500,0 тыс. руб.,</w:t>
      </w:r>
      <w:r>
        <w:rPr>
          <w:sz w:val="28"/>
          <w:szCs w:val="28"/>
        </w:rPr>
        <w:t xml:space="preserve"> </w:t>
      </w:r>
      <w:r w:rsidRPr="00092354">
        <w:rPr>
          <w:sz w:val="28"/>
          <w:szCs w:val="28"/>
        </w:rPr>
        <w:t>больше ожидаемого</w:t>
      </w:r>
      <w:r>
        <w:rPr>
          <w:sz w:val="28"/>
          <w:szCs w:val="28"/>
        </w:rPr>
        <w:t xml:space="preserve"> на</w:t>
      </w:r>
      <w:r w:rsidR="00AF6045">
        <w:rPr>
          <w:sz w:val="28"/>
          <w:szCs w:val="28"/>
        </w:rPr>
        <w:t xml:space="preserve"> 1 573,0 тыс. руб., исполнение -</w:t>
      </w:r>
      <w:r>
        <w:rPr>
          <w:sz w:val="28"/>
          <w:szCs w:val="28"/>
        </w:rPr>
        <w:t xml:space="preserve"> 414,6%;</w:t>
      </w:r>
    </w:p>
    <w:p w:rsidR="007B76E7" w:rsidRDefault="009D34E6" w:rsidP="00EC786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Иные</w:t>
      </w:r>
      <w:r w:rsidR="00C87B57" w:rsidRPr="00E3621C">
        <w:rPr>
          <w:b/>
          <w:i/>
          <w:sz w:val="28"/>
          <w:szCs w:val="28"/>
        </w:rPr>
        <w:t xml:space="preserve"> а</w:t>
      </w:r>
      <w:r>
        <w:rPr>
          <w:b/>
          <w:i/>
          <w:sz w:val="28"/>
          <w:szCs w:val="28"/>
        </w:rPr>
        <w:t>дминистративные платежи</w:t>
      </w:r>
      <w:r w:rsidR="007B76E7" w:rsidRPr="00E3621C">
        <w:rPr>
          <w:b/>
          <w:i/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 xml:space="preserve">сборы </w:t>
      </w:r>
      <w:r>
        <w:rPr>
          <w:sz w:val="28"/>
          <w:szCs w:val="28"/>
        </w:rPr>
        <w:t xml:space="preserve">составили </w:t>
      </w:r>
      <w:r w:rsidRPr="009D34E6">
        <w:rPr>
          <w:sz w:val="28"/>
          <w:szCs w:val="28"/>
        </w:rPr>
        <w:t>133,9 тыс. руб.</w:t>
      </w:r>
      <w:r>
        <w:rPr>
          <w:sz w:val="28"/>
          <w:szCs w:val="28"/>
        </w:rPr>
        <w:t xml:space="preserve"> при прогнозе 100,0 тыс. руб., </w:t>
      </w:r>
      <w:r w:rsidR="007B76E7" w:rsidRPr="000E0B1A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ожидаемого</w:t>
      </w:r>
      <w:r w:rsidR="007B76E7" w:rsidRPr="000E0B1A">
        <w:rPr>
          <w:sz w:val="28"/>
          <w:szCs w:val="28"/>
        </w:rPr>
        <w:t xml:space="preserve"> на</w:t>
      </w:r>
      <w:r w:rsidR="00AF6045">
        <w:rPr>
          <w:sz w:val="28"/>
          <w:szCs w:val="28"/>
        </w:rPr>
        <w:t xml:space="preserve"> 33,9 тыс. руб.</w:t>
      </w:r>
      <w:r>
        <w:rPr>
          <w:sz w:val="28"/>
          <w:szCs w:val="28"/>
        </w:rPr>
        <w:t>,</w:t>
      </w:r>
      <w:r w:rsidR="003B25EC">
        <w:rPr>
          <w:sz w:val="28"/>
          <w:szCs w:val="28"/>
        </w:rPr>
        <w:t xml:space="preserve"> </w:t>
      </w:r>
      <w:r w:rsidR="00AF6045">
        <w:rPr>
          <w:sz w:val="28"/>
          <w:szCs w:val="28"/>
        </w:rPr>
        <w:t>исполнение -</w:t>
      </w:r>
      <w:r w:rsidR="007B76E7">
        <w:rPr>
          <w:sz w:val="28"/>
          <w:szCs w:val="28"/>
        </w:rPr>
        <w:t xml:space="preserve"> </w:t>
      </w:r>
      <w:r w:rsidR="00593FCA">
        <w:rPr>
          <w:sz w:val="28"/>
          <w:szCs w:val="28"/>
        </w:rPr>
        <w:t>133,9%;</w:t>
      </w:r>
    </w:p>
    <w:p w:rsidR="00876632" w:rsidRDefault="00C87B57" w:rsidP="00EC786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621C">
        <w:rPr>
          <w:b/>
          <w:i/>
          <w:sz w:val="28"/>
          <w:szCs w:val="28"/>
        </w:rPr>
        <w:t xml:space="preserve">Другие неналоговые доходы местных бюджетов </w:t>
      </w:r>
      <w:r w:rsidR="00AF6045">
        <w:rPr>
          <w:b/>
          <w:sz w:val="28"/>
          <w:szCs w:val="28"/>
        </w:rPr>
        <w:t>-</w:t>
      </w:r>
      <w:r w:rsidR="00593FCA">
        <w:rPr>
          <w:b/>
          <w:sz w:val="28"/>
          <w:szCs w:val="28"/>
        </w:rPr>
        <w:t xml:space="preserve"> </w:t>
      </w:r>
      <w:r w:rsidR="00593FCA" w:rsidRPr="00593FCA">
        <w:rPr>
          <w:sz w:val="28"/>
          <w:szCs w:val="28"/>
        </w:rPr>
        <w:t>12,0 тыс. руб., исполнение 100,0%</w:t>
      </w:r>
      <w:r w:rsidR="00D82CD1">
        <w:rPr>
          <w:sz w:val="28"/>
          <w:szCs w:val="28"/>
        </w:rPr>
        <w:t>;</w:t>
      </w:r>
    </w:p>
    <w:p w:rsidR="008B2C0C" w:rsidRPr="009D34E6" w:rsidRDefault="009D34E6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2C0C" w:rsidRPr="009D34E6">
        <w:rPr>
          <w:sz w:val="28"/>
          <w:szCs w:val="28"/>
        </w:rPr>
        <w:t xml:space="preserve"> Всего сверх прогнозируемых</w:t>
      </w:r>
      <w:r w:rsidR="001445C6">
        <w:rPr>
          <w:sz w:val="28"/>
          <w:szCs w:val="28"/>
        </w:rPr>
        <w:t xml:space="preserve"> вышеперечисленных</w:t>
      </w:r>
      <w:r w:rsidR="008B2C0C" w:rsidRPr="009D34E6">
        <w:rPr>
          <w:sz w:val="28"/>
          <w:szCs w:val="28"/>
        </w:rPr>
        <w:t xml:space="preserve"> налоговых и неналоговы</w:t>
      </w:r>
      <w:r w:rsidR="00CD1099" w:rsidRPr="009D34E6">
        <w:rPr>
          <w:sz w:val="28"/>
          <w:szCs w:val="28"/>
        </w:rPr>
        <w:t xml:space="preserve">х платежей в бюджет </w:t>
      </w:r>
      <w:r w:rsidR="00EA4210" w:rsidRPr="009D34E6">
        <w:rPr>
          <w:sz w:val="28"/>
          <w:szCs w:val="28"/>
        </w:rPr>
        <w:t>поступило 6</w:t>
      </w:r>
      <w:r w:rsidR="008B2C0C" w:rsidRPr="009D34E6">
        <w:rPr>
          <w:sz w:val="28"/>
          <w:szCs w:val="28"/>
        </w:rPr>
        <w:t xml:space="preserve"> 382,4 тыс. руб.</w:t>
      </w:r>
    </w:p>
    <w:p w:rsidR="00D60305" w:rsidRPr="009D34E6" w:rsidRDefault="009D34E6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</w:t>
      </w:r>
      <w:r w:rsidR="00D60305" w:rsidRPr="001445C6">
        <w:rPr>
          <w:b/>
          <w:sz w:val="28"/>
          <w:szCs w:val="28"/>
        </w:rPr>
        <w:t xml:space="preserve">Иные межбюджетные трансферты, предоставляемые из республиканского бюджета </w:t>
      </w:r>
      <w:r w:rsidR="00D60305" w:rsidRPr="001445C6">
        <w:rPr>
          <w:sz w:val="28"/>
          <w:szCs w:val="28"/>
        </w:rPr>
        <w:t>п</w:t>
      </w:r>
      <w:r w:rsidR="00D60305" w:rsidRPr="009D34E6">
        <w:rPr>
          <w:sz w:val="28"/>
          <w:szCs w:val="28"/>
        </w:rPr>
        <w:t>оступили</w:t>
      </w:r>
      <w:r w:rsidR="003D2D2B" w:rsidRPr="009D34E6">
        <w:rPr>
          <w:sz w:val="28"/>
          <w:szCs w:val="28"/>
        </w:rPr>
        <w:t xml:space="preserve"> в сумме</w:t>
      </w:r>
      <w:r w:rsidR="004D09A8" w:rsidRPr="009D34E6">
        <w:rPr>
          <w:sz w:val="28"/>
          <w:szCs w:val="28"/>
        </w:rPr>
        <w:t xml:space="preserve"> 11 991,6 тыс. руб. </w:t>
      </w:r>
    </w:p>
    <w:p w:rsidR="00D167BD" w:rsidRDefault="00D167BD" w:rsidP="00EC7868">
      <w:pPr>
        <w:spacing w:after="160"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EE67DE">
        <w:rPr>
          <w:rFonts w:eastAsiaTheme="minorHAnsi"/>
          <w:bCs/>
          <w:sz w:val="28"/>
          <w:szCs w:val="28"/>
          <w:lang w:eastAsia="en-US"/>
        </w:rPr>
        <w:t>В то же время не поступили в полном объеме прогнозируемые платежи по следующим видам доходов: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167BD" w:rsidRPr="00265A3A" w:rsidRDefault="00D167BD" w:rsidP="00EC7868">
      <w:pPr>
        <w:pStyle w:val="a3"/>
        <w:numPr>
          <w:ilvl w:val="0"/>
          <w:numId w:val="4"/>
        </w:numPr>
        <w:spacing w:after="160"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3621C">
        <w:rPr>
          <w:rFonts w:eastAsiaTheme="minorHAnsi"/>
          <w:b/>
          <w:bCs/>
          <w:i/>
          <w:sz w:val="28"/>
          <w:szCs w:val="28"/>
          <w:lang w:eastAsia="en-US"/>
        </w:rPr>
        <w:t>Налог на прибыль предприятий и организаций</w:t>
      </w:r>
      <w:r w:rsidRPr="00D167B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составил 804,1 тыс. руб.,</w:t>
      </w:r>
      <w:r w:rsidR="00CF4F8B">
        <w:rPr>
          <w:rFonts w:eastAsiaTheme="minorHAnsi"/>
          <w:bCs/>
          <w:sz w:val="28"/>
          <w:szCs w:val="28"/>
          <w:lang w:eastAsia="en-US"/>
        </w:rPr>
        <w:t xml:space="preserve"> что меньше планируемого на</w:t>
      </w:r>
      <w:r w:rsidR="00AF6045">
        <w:rPr>
          <w:rFonts w:eastAsiaTheme="minorHAnsi"/>
          <w:bCs/>
          <w:sz w:val="28"/>
          <w:szCs w:val="28"/>
          <w:lang w:eastAsia="en-US"/>
        </w:rPr>
        <w:t xml:space="preserve"> 2 368,4 тыс. руб., исполнение -</w:t>
      </w:r>
      <w:r w:rsidR="00CF4F8B">
        <w:rPr>
          <w:rFonts w:eastAsiaTheme="minorHAnsi"/>
          <w:bCs/>
          <w:sz w:val="28"/>
          <w:szCs w:val="28"/>
          <w:lang w:eastAsia="en-US"/>
        </w:rPr>
        <w:t xml:space="preserve"> 25,3%;</w:t>
      </w:r>
    </w:p>
    <w:p w:rsidR="00265A3A" w:rsidRPr="00265A3A" w:rsidRDefault="00265A3A" w:rsidP="00EC7868">
      <w:pPr>
        <w:pStyle w:val="a3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3621C">
        <w:rPr>
          <w:rFonts w:eastAsiaTheme="minorHAnsi"/>
          <w:b/>
          <w:bCs/>
          <w:i/>
          <w:sz w:val="28"/>
          <w:szCs w:val="28"/>
          <w:lang w:eastAsia="en-US"/>
        </w:rPr>
        <w:t>Земельный налог</w:t>
      </w:r>
      <w:r w:rsidRPr="00265A3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B2C0C">
        <w:rPr>
          <w:rFonts w:eastAsiaTheme="minorHAnsi"/>
          <w:bCs/>
          <w:sz w:val="28"/>
          <w:szCs w:val="28"/>
          <w:lang w:eastAsia="en-US"/>
        </w:rPr>
        <w:t xml:space="preserve">поступил в сумме </w:t>
      </w:r>
      <w:r w:rsidR="008B2C0C" w:rsidRPr="008B2C0C">
        <w:rPr>
          <w:rFonts w:eastAsiaTheme="minorHAnsi"/>
          <w:bCs/>
          <w:sz w:val="28"/>
          <w:szCs w:val="28"/>
          <w:lang w:eastAsia="en-US"/>
        </w:rPr>
        <w:t>1 398,1 тыс. руб.</w:t>
      </w:r>
      <w:r w:rsidR="008B2C0C">
        <w:rPr>
          <w:rFonts w:eastAsiaTheme="minorHAnsi"/>
          <w:bCs/>
          <w:sz w:val="28"/>
          <w:szCs w:val="28"/>
          <w:lang w:eastAsia="en-US"/>
        </w:rPr>
        <w:t xml:space="preserve">, при прогнозе 2 800,0 тыс. руб., </w:t>
      </w:r>
      <w:r w:rsidR="008B2C0C" w:rsidRPr="008B2C0C">
        <w:rPr>
          <w:rFonts w:eastAsiaTheme="minorHAnsi"/>
          <w:bCs/>
          <w:sz w:val="28"/>
          <w:szCs w:val="28"/>
          <w:lang w:eastAsia="en-US"/>
        </w:rPr>
        <w:t xml:space="preserve">меньше ожидаемого </w:t>
      </w:r>
      <w:r w:rsidRPr="00D80393">
        <w:rPr>
          <w:rFonts w:eastAsiaTheme="minorHAnsi"/>
          <w:bCs/>
          <w:sz w:val="28"/>
          <w:szCs w:val="28"/>
          <w:lang w:eastAsia="en-US"/>
        </w:rPr>
        <w:t>на 301,9 тыс. руб.</w:t>
      </w:r>
      <w:r w:rsidR="00C47B47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265A3A">
        <w:rPr>
          <w:rFonts w:eastAsiaTheme="minorHAnsi"/>
          <w:bCs/>
          <w:sz w:val="28"/>
          <w:szCs w:val="28"/>
          <w:lang w:eastAsia="en-US"/>
        </w:rPr>
        <w:t xml:space="preserve">исполнение </w:t>
      </w:r>
      <w:r w:rsidR="00AF6045">
        <w:rPr>
          <w:rFonts w:eastAsiaTheme="minorHAnsi"/>
          <w:bCs/>
          <w:sz w:val="28"/>
          <w:szCs w:val="28"/>
          <w:lang w:eastAsia="en-US"/>
        </w:rPr>
        <w:t>-</w:t>
      </w:r>
      <w:r w:rsidRPr="00265A3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80393">
        <w:rPr>
          <w:rFonts w:eastAsiaTheme="minorHAnsi"/>
          <w:bCs/>
          <w:sz w:val="28"/>
          <w:szCs w:val="28"/>
          <w:lang w:eastAsia="en-US"/>
        </w:rPr>
        <w:t>82,2%</w:t>
      </w:r>
      <w:r w:rsidR="00C74DFB">
        <w:rPr>
          <w:rFonts w:eastAsiaTheme="minorHAnsi"/>
          <w:bCs/>
          <w:sz w:val="28"/>
          <w:szCs w:val="28"/>
          <w:lang w:eastAsia="en-US"/>
        </w:rPr>
        <w:t>;</w:t>
      </w:r>
    </w:p>
    <w:p w:rsidR="001156D2" w:rsidRPr="00CF4F8B" w:rsidRDefault="00CF4F8B" w:rsidP="00EC7868">
      <w:pPr>
        <w:pStyle w:val="a3"/>
        <w:numPr>
          <w:ilvl w:val="0"/>
          <w:numId w:val="4"/>
        </w:numPr>
        <w:spacing w:after="160"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3621C">
        <w:rPr>
          <w:b/>
          <w:i/>
          <w:sz w:val="28"/>
          <w:szCs w:val="28"/>
        </w:rPr>
        <w:t>Налог на имущество предприятий</w:t>
      </w:r>
      <w:r>
        <w:rPr>
          <w:b/>
          <w:sz w:val="28"/>
          <w:szCs w:val="28"/>
        </w:rPr>
        <w:t xml:space="preserve"> </w:t>
      </w:r>
      <w:r w:rsidR="00884946">
        <w:rPr>
          <w:sz w:val="28"/>
          <w:szCs w:val="28"/>
        </w:rPr>
        <w:t>поступил в сумме 671,0 тыс. руб., при прогнозе 1</w:t>
      </w:r>
      <w:r w:rsidR="00DD2A99">
        <w:rPr>
          <w:sz w:val="28"/>
          <w:szCs w:val="28"/>
        </w:rPr>
        <w:t> </w:t>
      </w:r>
      <w:r w:rsidR="00884946">
        <w:rPr>
          <w:sz w:val="28"/>
          <w:szCs w:val="28"/>
        </w:rPr>
        <w:t>100</w:t>
      </w:r>
      <w:r w:rsidR="00DD2A99">
        <w:rPr>
          <w:sz w:val="28"/>
          <w:szCs w:val="28"/>
        </w:rPr>
        <w:t>,0</w:t>
      </w:r>
      <w:r w:rsidR="00884946">
        <w:rPr>
          <w:sz w:val="28"/>
          <w:szCs w:val="28"/>
        </w:rPr>
        <w:t xml:space="preserve"> тыс. руб., </w:t>
      </w:r>
      <w:r w:rsidR="00DD2A99">
        <w:rPr>
          <w:sz w:val="28"/>
          <w:szCs w:val="28"/>
        </w:rPr>
        <w:t xml:space="preserve">меньше ожидаемого на 429,0 тыс. руб., </w:t>
      </w:r>
      <w:r w:rsidR="00AF6045">
        <w:rPr>
          <w:sz w:val="28"/>
          <w:szCs w:val="28"/>
        </w:rPr>
        <w:t xml:space="preserve">исполнение - </w:t>
      </w:r>
      <w:r>
        <w:rPr>
          <w:sz w:val="28"/>
          <w:szCs w:val="28"/>
        </w:rPr>
        <w:t>61,0%;</w:t>
      </w:r>
    </w:p>
    <w:p w:rsidR="00CF4F8B" w:rsidRPr="00CF4F8B" w:rsidRDefault="00CF4F8B" w:rsidP="00EC7868">
      <w:pPr>
        <w:pStyle w:val="a3"/>
        <w:numPr>
          <w:ilvl w:val="0"/>
          <w:numId w:val="4"/>
        </w:numPr>
        <w:spacing w:after="160"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3621C">
        <w:rPr>
          <w:b/>
          <w:i/>
          <w:sz w:val="28"/>
          <w:szCs w:val="28"/>
        </w:rPr>
        <w:t>Государственная пошлина</w:t>
      </w:r>
      <w:r w:rsidRPr="00443FC6">
        <w:t xml:space="preserve"> </w:t>
      </w:r>
      <w:r>
        <w:rPr>
          <w:sz w:val="28"/>
          <w:szCs w:val="28"/>
        </w:rPr>
        <w:t>поступила</w:t>
      </w:r>
      <w:r w:rsidR="00884946">
        <w:rPr>
          <w:sz w:val="28"/>
          <w:szCs w:val="28"/>
        </w:rPr>
        <w:t xml:space="preserve"> в сумме 195,0 тыс. руб., что </w:t>
      </w:r>
      <w:r w:rsidRPr="00443FC6">
        <w:rPr>
          <w:sz w:val="28"/>
          <w:szCs w:val="28"/>
        </w:rPr>
        <w:t>на</w:t>
      </w:r>
      <w:r w:rsidR="00884946">
        <w:rPr>
          <w:sz w:val="28"/>
          <w:szCs w:val="28"/>
        </w:rPr>
        <w:t xml:space="preserve"> 405,0 тыс. руб. меньше прогнозируемого показателя </w:t>
      </w:r>
      <w:r w:rsidR="00D67AB0">
        <w:rPr>
          <w:sz w:val="28"/>
          <w:szCs w:val="28"/>
        </w:rPr>
        <w:t>(</w:t>
      </w:r>
      <w:r w:rsidR="00884946">
        <w:rPr>
          <w:sz w:val="28"/>
          <w:szCs w:val="28"/>
        </w:rPr>
        <w:t>600,0 тыс. руб.</w:t>
      </w:r>
      <w:r w:rsidR="00D67AB0">
        <w:rPr>
          <w:sz w:val="28"/>
          <w:szCs w:val="28"/>
        </w:rPr>
        <w:t>)</w:t>
      </w:r>
      <w:r w:rsidR="00884946">
        <w:rPr>
          <w:sz w:val="28"/>
          <w:szCs w:val="28"/>
        </w:rPr>
        <w:t xml:space="preserve">, </w:t>
      </w:r>
      <w:r w:rsidR="00AF6045">
        <w:rPr>
          <w:sz w:val="28"/>
          <w:szCs w:val="28"/>
        </w:rPr>
        <w:t xml:space="preserve">исполнение - </w:t>
      </w:r>
      <w:r>
        <w:rPr>
          <w:sz w:val="28"/>
          <w:szCs w:val="28"/>
        </w:rPr>
        <w:t>32,5%;</w:t>
      </w:r>
    </w:p>
    <w:p w:rsidR="00B50287" w:rsidRDefault="00B50287" w:rsidP="00EC786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621C">
        <w:rPr>
          <w:b/>
          <w:i/>
          <w:sz w:val="28"/>
          <w:szCs w:val="28"/>
        </w:rPr>
        <w:t>Доходы в виде арендной или иной платы за передачу в возмездное пользование государственного имущества</w:t>
      </w:r>
      <w:r>
        <w:rPr>
          <w:b/>
          <w:sz w:val="28"/>
          <w:szCs w:val="28"/>
        </w:rPr>
        <w:t xml:space="preserve"> </w:t>
      </w:r>
      <w:r w:rsidR="00EA4210">
        <w:rPr>
          <w:sz w:val="28"/>
          <w:szCs w:val="28"/>
        </w:rPr>
        <w:t xml:space="preserve">поступили в сумме </w:t>
      </w:r>
      <w:r>
        <w:rPr>
          <w:sz w:val="28"/>
          <w:szCs w:val="28"/>
        </w:rPr>
        <w:t xml:space="preserve">775,8 тыс. руб., </w:t>
      </w:r>
      <w:r w:rsidR="00C74DFB" w:rsidRPr="00C74DFB">
        <w:rPr>
          <w:sz w:val="28"/>
          <w:szCs w:val="28"/>
        </w:rPr>
        <w:t xml:space="preserve">при </w:t>
      </w:r>
      <w:r w:rsidR="00D67AB0">
        <w:rPr>
          <w:sz w:val="28"/>
          <w:szCs w:val="28"/>
        </w:rPr>
        <w:t xml:space="preserve">прогнозе </w:t>
      </w:r>
      <w:r w:rsidR="00C74DFB">
        <w:rPr>
          <w:sz w:val="28"/>
          <w:szCs w:val="28"/>
        </w:rPr>
        <w:t>900</w:t>
      </w:r>
      <w:r w:rsidR="00C74DFB" w:rsidRPr="00C74DFB">
        <w:rPr>
          <w:sz w:val="28"/>
          <w:szCs w:val="28"/>
        </w:rPr>
        <w:t>,0</w:t>
      </w:r>
      <w:r w:rsidR="00C74DFB">
        <w:rPr>
          <w:sz w:val="28"/>
          <w:szCs w:val="28"/>
        </w:rPr>
        <w:t xml:space="preserve"> </w:t>
      </w:r>
      <w:r w:rsidR="00C74DFB" w:rsidRPr="00C74DFB">
        <w:rPr>
          <w:sz w:val="28"/>
          <w:szCs w:val="28"/>
        </w:rPr>
        <w:t xml:space="preserve">тыс. руб., </w:t>
      </w:r>
      <w:r>
        <w:rPr>
          <w:sz w:val="28"/>
          <w:szCs w:val="28"/>
        </w:rPr>
        <w:t xml:space="preserve">что меньше ожидаемого </w:t>
      </w:r>
      <w:r w:rsidR="00AF6045">
        <w:rPr>
          <w:sz w:val="28"/>
          <w:szCs w:val="28"/>
        </w:rPr>
        <w:t>на 124,2 тыс. руб., исполнение -</w:t>
      </w:r>
      <w:r>
        <w:rPr>
          <w:sz w:val="28"/>
          <w:szCs w:val="28"/>
        </w:rPr>
        <w:t xml:space="preserve"> 86,2%;</w:t>
      </w:r>
    </w:p>
    <w:p w:rsidR="00CF4F8B" w:rsidRPr="00022E63" w:rsidRDefault="00022E63" w:rsidP="00EC7868">
      <w:pPr>
        <w:pStyle w:val="a3"/>
        <w:numPr>
          <w:ilvl w:val="0"/>
          <w:numId w:val="4"/>
        </w:numPr>
        <w:spacing w:after="160"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3621C">
        <w:rPr>
          <w:rFonts w:eastAsiaTheme="minorHAnsi"/>
          <w:b/>
          <w:bCs/>
          <w:i/>
          <w:sz w:val="28"/>
          <w:szCs w:val="28"/>
          <w:lang w:eastAsia="en-US"/>
        </w:rPr>
        <w:t>Доходы от продажи гражданам в частную собственность жилья из муниципального жилищного фонда</w:t>
      </w:r>
      <w:r w:rsidRPr="00022E63">
        <w:rPr>
          <w:rFonts w:eastAsiaTheme="minorHAnsi"/>
          <w:bCs/>
          <w:sz w:val="28"/>
          <w:szCs w:val="28"/>
          <w:lang w:eastAsia="en-US"/>
        </w:rPr>
        <w:t xml:space="preserve"> составил</w:t>
      </w:r>
      <w:r w:rsidR="00D67AB0">
        <w:rPr>
          <w:rFonts w:eastAsiaTheme="minorHAnsi"/>
          <w:bCs/>
          <w:sz w:val="28"/>
          <w:szCs w:val="28"/>
          <w:lang w:eastAsia="en-US"/>
        </w:rPr>
        <w:t>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22E63">
        <w:rPr>
          <w:rFonts w:eastAsiaTheme="minorHAnsi"/>
          <w:bCs/>
          <w:sz w:val="28"/>
          <w:szCs w:val="28"/>
          <w:lang w:eastAsia="en-US"/>
        </w:rPr>
        <w:t>174,9 тыс. руб.</w:t>
      </w:r>
      <w:r w:rsidR="00AF6045">
        <w:rPr>
          <w:rFonts w:eastAsiaTheme="minorHAnsi"/>
          <w:bCs/>
          <w:sz w:val="28"/>
          <w:szCs w:val="28"/>
          <w:lang w:eastAsia="en-US"/>
        </w:rPr>
        <w:t>,</w:t>
      </w:r>
      <w:r w:rsidR="00C74DFB">
        <w:rPr>
          <w:rFonts w:eastAsiaTheme="minorHAnsi"/>
          <w:bCs/>
          <w:sz w:val="28"/>
          <w:szCs w:val="28"/>
          <w:lang w:eastAsia="en-US"/>
        </w:rPr>
        <w:t xml:space="preserve"> при </w:t>
      </w:r>
      <w:r w:rsidR="00D67AB0">
        <w:rPr>
          <w:rFonts w:eastAsiaTheme="minorHAnsi"/>
          <w:bCs/>
          <w:sz w:val="28"/>
          <w:szCs w:val="28"/>
          <w:lang w:eastAsia="en-US"/>
        </w:rPr>
        <w:t xml:space="preserve">прогнозе </w:t>
      </w:r>
      <w:r w:rsidR="00C74DFB">
        <w:rPr>
          <w:rFonts w:eastAsiaTheme="minorHAnsi"/>
          <w:bCs/>
          <w:sz w:val="28"/>
          <w:szCs w:val="28"/>
          <w:lang w:eastAsia="en-US"/>
        </w:rPr>
        <w:t>250</w:t>
      </w:r>
      <w:r w:rsidR="00C74DFB" w:rsidRPr="00C74DFB">
        <w:rPr>
          <w:rFonts w:eastAsiaTheme="minorHAnsi"/>
          <w:bCs/>
          <w:sz w:val="28"/>
          <w:szCs w:val="28"/>
          <w:lang w:eastAsia="en-US"/>
        </w:rPr>
        <w:t>,0</w:t>
      </w:r>
      <w:r w:rsidR="00C74DFB">
        <w:rPr>
          <w:rFonts w:eastAsiaTheme="minorHAnsi"/>
          <w:bCs/>
          <w:sz w:val="28"/>
          <w:szCs w:val="28"/>
          <w:lang w:eastAsia="en-US"/>
        </w:rPr>
        <w:t xml:space="preserve"> тыс.</w:t>
      </w:r>
      <w:r w:rsidR="00C74DFB" w:rsidRPr="00C74DFB">
        <w:rPr>
          <w:rFonts w:eastAsiaTheme="minorHAnsi"/>
          <w:bCs/>
          <w:sz w:val="28"/>
          <w:szCs w:val="28"/>
          <w:lang w:eastAsia="en-US"/>
        </w:rPr>
        <w:t xml:space="preserve"> руб.,</w:t>
      </w:r>
      <w:r w:rsidR="00DD2A99" w:rsidRPr="00DD2A99">
        <w:t xml:space="preserve"> </w:t>
      </w:r>
      <w:r w:rsidR="00DD2A99" w:rsidRPr="00DD2A99">
        <w:rPr>
          <w:rFonts w:eastAsiaTheme="minorHAnsi"/>
          <w:bCs/>
          <w:sz w:val="28"/>
          <w:szCs w:val="28"/>
          <w:lang w:eastAsia="en-US"/>
        </w:rPr>
        <w:t>что меньше ожидаемого на</w:t>
      </w:r>
      <w:r w:rsidR="00DD2A99">
        <w:rPr>
          <w:rFonts w:eastAsiaTheme="minorHAnsi"/>
          <w:bCs/>
          <w:sz w:val="28"/>
          <w:szCs w:val="28"/>
          <w:lang w:eastAsia="en-US"/>
        </w:rPr>
        <w:t xml:space="preserve"> 75,1 тыс. руб.,</w:t>
      </w:r>
      <w:r w:rsidR="00C74DFB" w:rsidRPr="00C74DF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F6045">
        <w:rPr>
          <w:rFonts w:eastAsiaTheme="minorHAnsi"/>
          <w:bCs/>
          <w:sz w:val="28"/>
          <w:szCs w:val="28"/>
          <w:lang w:eastAsia="en-US"/>
        </w:rPr>
        <w:t>исполнение -</w:t>
      </w:r>
      <w:r>
        <w:rPr>
          <w:rFonts w:eastAsiaTheme="minorHAnsi"/>
          <w:bCs/>
          <w:sz w:val="28"/>
          <w:szCs w:val="28"/>
          <w:lang w:eastAsia="en-US"/>
        </w:rPr>
        <w:t xml:space="preserve"> 70,0%;</w:t>
      </w:r>
    </w:p>
    <w:p w:rsidR="0082226C" w:rsidRPr="0082226C" w:rsidRDefault="00265A3A" w:rsidP="00EC7868">
      <w:pPr>
        <w:pStyle w:val="a3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E3621C">
        <w:rPr>
          <w:rFonts w:eastAsiaTheme="minorHAnsi"/>
          <w:b/>
          <w:bCs/>
          <w:i/>
          <w:sz w:val="28"/>
          <w:szCs w:val="28"/>
          <w:lang w:eastAsia="en-US"/>
        </w:rPr>
        <w:t>Платежи за пользование лесным фондом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65A3A">
        <w:rPr>
          <w:rFonts w:eastAsiaTheme="minorHAnsi"/>
          <w:bCs/>
          <w:sz w:val="28"/>
          <w:szCs w:val="28"/>
          <w:lang w:eastAsia="en-US"/>
        </w:rPr>
        <w:t xml:space="preserve">поступили </w:t>
      </w:r>
      <w:r w:rsidR="00DD2A99">
        <w:rPr>
          <w:rFonts w:eastAsiaTheme="minorHAnsi"/>
          <w:bCs/>
          <w:sz w:val="28"/>
          <w:szCs w:val="28"/>
          <w:lang w:eastAsia="en-US"/>
        </w:rPr>
        <w:t xml:space="preserve">в сумме 14,3 тыс. руб., </w:t>
      </w:r>
      <w:r>
        <w:rPr>
          <w:rFonts w:eastAsiaTheme="minorHAnsi"/>
          <w:bCs/>
          <w:sz w:val="28"/>
          <w:szCs w:val="28"/>
          <w:lang w:eastAsia="en-US"/>
        </w:rPr>
        <w:t>при п</w:t>
      </w:r>
      <w:r w:rsidR="00123D03">
        <w:rPr>
          <w:rFonts w:eastAsiaTheme="minorHAnsi"/>
          <w:bCs/>
          <w:sz w:val="28"/>
          <w:szCs w:val="28"/>
          <w:lang w:eastAsia="en-US"/>
        </w:rPr>
        <w:t xml:space="preserve">рогнозе </w:t>
      </w:r>
      <w:r w:rsidR="00AF6045">
        <w:rPr>
          <w:rFonts w:eastAsiaTheme="minorHAnsi"/>
          <w:bCs/>
          <w:sz w:val="28"/>
          <w:szCs w:val="28"/>
          <w:lang w:eastAsia="en-US"/>
        </w:rPr>
        <w:t xml:space="preserve">120,0 тыс. руб., </w:t>
      </w:r>
      <w:r w:rsidR="00DD2A99" w:rsidRPr="00DD2A99">
        <w:rPr>
          <w:rFonts w:eastAsiaTheme="minorHAnsi"/>
          <w:bCs/>
          <w:sz w:val="28"/>
          <w:szCs w:val="28"/>
          <w:lang w:eastAsia="en-US"/>
        </w:rPr>
        <w:t xml:space="preserve">что меньше ожидаемой суммы на 105,7 тыс. руб., </w:t>
      </w:r>
      <w:r w:rsidR="00AF6045">
        <w:rPr>
          <w:rFonts w:eastAsiaTheme="minorHAnsi"/>
          <w:bCs/>
          <w:sz w:val="28"/>
          <w:szCs w:val="28"/>
          <w:lang w:eastAsia="en-US"/>
        </w:rPr>
        <w:t>исполнение -</w:t>
      </w:r>
      <w:r>
        <w:rPr>
          <w:rFonts w:eastAsiaTheme="minorHAnsi"/>
          <w:bCs/>
          <w:sz w:val="28"/>
          <w:szCs w:val="28"/>
          <w:lang w:eastAsia="en-US"/>
        </w:rPr>
        <w:t xml:space="preserve"> 11,</w:t>
      </w:r>
      <w:r w:rsidR="00C74DFB">
        <w:rPr>
          <w:rFonts w:eastAsiaTheme="minorHAnsi"/>
          <w:bCs/>
          <w:sz w:val="28"/>
          <w:szCs w:val="28"/>
          <w:lang w:eastAsia="en-US"/>
        </w:rPr>
        <w:t>9%;</w:t>
      </w:r>
    </w:p>
    <w:p w:rsidR="0082226C" w:rsidRPr="0082226C" w:rsidRDefault="00DD2A99" w:rsidP="00EC7868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82226C">
        <w:rPr>
          <w:rFonts w:eastAsiaTheme="minorHAnsi"/>
          <w:bCs/>
          <w:sz w:val="28"/>
          <w:szCs w:val="28"/>
          <w:lang w:eastAsia="en-US"/>
        </w:rPr>
        <w:t xml:space="preserve">   </w:t>
      </w:r>
      <w:r>
        <w:rPr>
          <w:rFonts w:eastAsiaTheme="minorHAnsi"/>
          <w:bCs/>
          <w:sz w:val="28"/>
          <w:szCs w:val="28"/>
          <w:lang w:eastAsia="en-US"/>
        </w:rPr>
        <w:t xml:space="preserve">  </w:t>
      </w:r>
      <w:r w:rsidR="0082226C" w:rsidRPr="0082226C">
        <w:rPr>
          <w:rFonts w:eastAsiaTheme="minorHAnsi"/>
          <w:bCs/>
          <w:sz w:val="28"/>
          <w:szCs w:val="28"/>
          <w:lang w:eastAsia="en-US"/>
        </w:rPr>
        <w:t>Всего не исполнено прогнозируемых налоговых и ненал</w:t>
      </w:r>
      <w:r w:rsidR="00C559EA">
        <w:rPr>
          <w:rFonts w:eastAsiaTheme="minorHAnsi"/>
          <w:bCs/>
          <w:sz w:val="28"/>
          <w:szCs w:val="28"/>
          <w:lang w:eastAsia="en-US"/>
        </w:rPr>
        <w:t>оговых платежей на сумму 1 246,6</w:t>
      </w:r>
      <w:r w:rsidR="0082226C" w:rsidRPr="0082226C">
        <w:rPr>
          <w:rFonts w:eastAsiaTheme="minorHAnsi"/>
          <w:bCs/>
          <w:sz w:val="28"/>
          <w:szCs w:val="28"/>
          <w:lang w:eastAsia="en-US"/>
        </w:rPr>
        <w:t xml:space="preserve"> тыс. руб.</w:t>
      </w:r>
    </w:p>
    <w:p w:rsidR="00CA5532" w:rsidRPr="00DD2A99" w:rsidRDefault="00DD2A99" w:rsidP="00EC7868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</w:t>
      </w:r>
      <w:r w:rsidR="00A55388" w:rsidRPr="00DD2A99">
        <w:rPr>
          <w:sz w:val="28"/>
          <w:szCs w:val="28"/>
        </w:rPr>
        <w:t xml:space="preserve"> Поступившая </w:t>
      </w:r>
      <w:r w:rsidR="00A55388" w:rsidRPr="00DD2A99">
        <w:rPr>
          <w:b/>
          <w:i/>
          <w:sz w:val="28"/>
          <w:szCs w:val="28"/>
        </w:rPr>
        <w:t>дотация из Республиканского бюджета</w:t>
      </w:r>
      <w:r w:rsidR="00A55388" w:rsidRPr="00DD2A99">
        <w:rPr>
          <w:sz w:val="28"/>
          <w:szCs w:val="28"/>
        </w:rPr>
        <w:t xml:space="preserve"> за отчетный период составила 34 212,3 тыс. руб., что меньше прогнозируемой суммы </w:t>
      </w:r>
      <w:r w:rsidR="007124A5">
        <w:rPr>
          <w:sz w:val="28"/>
          <w:szCs w:val="28"/>
        </w:rPr>
        <w:t>на 2 037,7 тыс. руб., или 94,4%</w:t>
      </w:r>
      <w:r w:rsidR="00A55388" w:rsidRPr="00DD2A99">
        <w:rPr>
          <w:sz w:val="28"/>
          <w:szCs w:val="28"/>
        </w:rPr>
        <w:t xml:space="preserve"> от утвержденной суммы </w:t>
      </w:r>
      <w:r w:rsidR="007124A5">
        <w:rPr>
          <w:sz w:val="28"/>
          <w:szCs w:val="28"/>
        </w:rPr>
        <w:t>(</w:t>
      </w:r>
      <w:r w:rsidR="00A55388" w:rsidRPr="00DD2A99">
        <w:rPr>
          <w:sz w:val="28"/>
          <w:szCs w:val="28"/>
        </w:rPr>
        <w:t>36 250,0 тыс. руб.</w:t>
      </w:r>
      <w:r w:rsidR="007124A5">
        <w:rPr>
          <w:sz w:val="28"/>
          <w:szCs w:val="28"/>
        </w:rPr>
        <w:t>).</w:t>
      </w:r>
      <w:r w:rsidR="00CA5532" w:rsidRPr="00DD2A99">
        <w:rPr>
          <w:sz w:val="28"/>
          <w:szCs w:val="28"/>
        </w:rPr>
        <w:t xml:space="preserve"> </w:t>
      </w:r>
    </w:p>
    <w:p w:rsidR="00BF1A03" w:rsidRDefault="005526D2" w:rsidP="00F22D1E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собственных доходов </w:t>
      </w:r>
      <w:r w:rsidR="0082226C" w:rsidRPr="0082226C">
        <w:rPr>
          <w:sz w:val="28"/>
          <w:szCs w:val="28"/>
        </w:rPr>
        <w:t>составляет 45,3%</w:t>
      </w:r>
      <w:r w:rsidR="00822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общего объёма доходов, а </w:t>
      </w:r>
      <w:r w:rsidR="00873084">
        <w:rPr>
          <w:sz w:val="28"/>
          <w:szCs w:val="28"/>
        </w:rPr>
        <w:t xml:space="preserve">межбюджетные трансферты в форме дотаций </w:t>
      </w:r>
      <w:r w:rsidR="00AF6045">
        <w:rPr>
          <w:sz w:val="28"/>
          <w:szCs w:val="28"/>
        </w:rPr>
        <w:t>-</w:t>
      </w:r>
      <w:r w:rsidR="00FB7691">
        <w:rPr>
          <w:sz w:val="28"/>
          <w:szCs w:val="28"/>
        </w:rPr>
        <w:t xml:space="preserve"> 54,7%</w:t>
      </w:r>
      <w:r w:rsidRPr="005526D2">
        <w:rPr>
          <w:sz w:val="28"/>
          <w:szCs w:val="28"/>
        </w:rPr>
        <w:t>, что говорит о высокой зависимости района от внешних источников.</w:t>
      </w:r>
    </w:p>
    <w:p w:rsidR="00147364" w:rsidRPr="00E57321" w:rsidRDefault="00147364" w:rsidP="00F22D1E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bookmarkStart w:id="0" w:name="_GoBack"/>
      <w:bookmarkEnd w:id="0"/>
    </w:p>
    <w:p w:rsidR="007860CF" w:rsidRPr="007860CF" w:rsidRDefault="007860CF" w:rsidP="00D8441A">
      <w:pPr>
        <w:spacing w:line="360" w:lineRule="auto"/>
        <w:ind w:left="108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860CF">
        <w:rPr>
          <w:rFonts w:eastAsiaTheme="minorHAnsi"/>
          <w:b/>
          <w:bCs/>
          <w:sz w:val="28"/>
          <w:szCs w:val="28"/>
          <w:lang w:eastAsia="en-US"/>
        </w:rPr>
        <w:t>Исполнение расходной части бюджета</w:t>
      </w:r>
    </w:p>
    <w:p w:rsidR="00A55388" w:rsidRPr="00E3621C" w:rsidRDefault="007860CF" w:rsidP="00D8441A">
      <w:pPr>
        <w:spacing w:line="360" w:lineRule="auto"/>
        <w:ind w:left="108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860CF">
        <w:rPr>
          <w:b/>
          <w:sz w:val="28"/>
          <w:szCs w:val="28"/>
        </w:rPr>
        <w:t>Гулрыпшского</w:t>
      </w:r>
      <w:r w:rsidRPr="007860CF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Pr="007860CF">
        <w:rPr>
          <w:rFonts w:eastAsiaTheme="minorHAnsi"/>
          <w:b/>
          <w:bCs/>
          <w:sz w:val="28"/>
          <w:szCs w:val="28"/>
          <w:lang w:eastAsia="en-US"/>
        </w:rPr>
        <w:t xml:space="preserve">района за </w:t>
      </w:r>
      <w:r w:rsidR="00E3621C" w:rsidRPr="00E3621C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>I-ое полугодие</w:t>
      </w:r>
      <w:r w:rsidR="00E3621C" w:rsidRPr="007860C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860CF">
        <w:rPr>
          <w:rFonts w:eastAsiaTheme="minorHAnsi"/>
          <w:b/>
          <w:bCs/>
          <w:sz w:val="28"/>
          <w:szCs w:val="28"/>
          <w:lang w:eastAsia="en-US"/>
        </w:rPr>
        <w:t>2017 года</w:t>
      </w:r>
    </w:p>
    <w:p w:rsidR="00F22D1E" w:rsidRDefault="00E3621C" w:rsidP="00F22D1E">
      <w:pPr>
        <w:pStyle w:val="a3"/>
        <w:spacing w:after="160" w:line="360" w:lineRule="auto"/>
        <w:ind w:left="0"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Исполнение расходной части бюджета </w:t>
      </w:r>
      <w:r w:rsidR="00E0668D" w:rsidRPr="00E0668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Гулрыпшского </w:t>
      </w:r>
      <w:r w:rsidR="00D82CD1" w:rsidRPr="00D82CD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района</w:t>
      </w:r>
      <w:r w:rsidR="00D82CD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за</w:t>
      </w:r>
      <w:r w:rsidR="00D82CD1" w:rsidRPr="00D82CD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I-ое полугодие 2017 года составило </w:t>
      </w:r>
      <w:r w:rsidR="00B43AD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82 315,0 тыс. руб., чт</w:t>
      </w:r>
      <w:r w:rsidR="00AB4BD6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 на 8 436,9 тыс. руб.  меньше прогнозного</w:t>
      </w:r>
      <w:r w:rsidR="00B43AD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показателя </w:t>
      </w:r>
      <w:r w:rsidR="00AB4BD6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(</w:t>
      </w:r>
      <w:r w:rsidR="0009029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90 751,9 тыс.</w:t>
      </w:r>
      <w:r w:rsidR="00AB4BD6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09029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руб.</w:t>
      </w:r>
      <w:r w:rsidR="00AB4BD6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)</w:t>
      </w:r>
      <w:r w:rsidR="007124A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r w:rsidR="001F1D69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исполнение </w:t>
      </w:r>
      <w:r w:rsidR="007124A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1F1D69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90,7%.</w:t>
      </w:r>
    </w:p>
    <w:p w:rsidR="00147364" w:rsidRDefault="00147364" w:rsidP="00F22D1E">
      <w:pPr>
        <w:pStyle w:val="a3"/>
        <w:spacing w:after="160" w:line="360" w:lineRule="auto"/>
        <w:ind w:left="0"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F22D1E" w:rsidRDefault="00F22D1E" w:rsidP="00F22D1E">
      <w:pPr>
        <w:pStyle w:val="a3"/>
        <w:spacing w:after="160" w:line="360" w:lineRule="auto"/>
        <w:ind w:left="0" w:firstLine="567"/>
        <w:jc w:val="both"/>
        <w:rPr>
          <w:rFonts w:ascii="Times New Roman CYR" w:eastAsiaTheme="minorHAnsi" w:hAnsi="Times New Roman CYR" w:cs="Times New Roman CYR"/>
          <w:b/>
          <w:bCs/>
          <w:i/>
          <w:color w:val="000000"/>
          <w:sz w:val="28"/>
          <w:szCs w:val="28"/>
          <w:lang w:eastAsia="en-US"/>
        </w:rPr>
      </w:pPr>
      <w:r w:rsidRPr="00F22D1E">
        <w:rPr>
          <w:rFonts w:ascii="Times New Roman CYR" w:eastAsiaTheme="minorHAnsi" w:hAnsi="Times New Roman CYR" w:cs="Times New Roman CYR"/>
          <w:b/>
          <w:bCs/>
          <w:i/>
          <w:color w:val="000000"/>
          <w:sz w:val="28"/>
          <w:szCs w:val="28"/>
          <w:lang w:eastAsia="en-US"/>
        </w:rPr>
        <w:t>Исполнение расходной части бюджета Гулрыпшского за I-ое полугодие 2017 года представлено в таблице №3</w:t>
      </w:r>
      <w:r>
        <w:rPr>
          <w:rFonts w:ascii="Times New Roman CYR" w:eastAsiaTheme="minorHAnsi" w:hAnsi="Times New Roman CYR" w:cs="Times New Roman CYR"/>
          <w:b/>
          <w:bCs/>
          <w:i/>
          <w:color w:val="000000"/>
          <w:sz w:val="28"/>
          <w:szCs w:val="28"/>
          <w:lang w:eastAsia="en-US"/>
        </w:rPr>
        <w:t>:</w:t>
      </w:r>
    </w:p>
    <w:p w:rsidR="00F22D1E" w:rsidRPr="00F22D1E" w:rsidRDefault="00F22D1E" w:rsidP="00F22D1E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r w:rsidRPr="00F22D1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Табл. №3                                                                                                     (тыс. руб.)</w:t>
      </w:r>
    </w:p>
    <w:tbl>
      <w:tblPr>
        <w:tblpPr w:leftFromText="180" w:rightFromText="180" w:vertAnchor="text" w:horzAnchor="margin" w:tblpXSpec="center" w:tblpY="156"/>
        <w:tblW w:w="10517" w:type="dxa"/>
        <w:tblLayout w:type="fixed"/>
        <w:tblLook w:val="04A0" w:firstRow="1" w:lastRow="0" w:firstColumn="1" w:lastColumn="0" w:noHBand="0" w:noVBand="1"/>
      </w:tblPr>
      <w:tblGrid>
        <w:gridCol w:w="851"/>
        <w:gridCol w:w="2450"/>
        <w:gridCol w:w="1235"/>
        <w:gridCol w:w="1236"/>
        <w:gridCol w:w="1114"/>
        <w:gridCol w:w="960"/>
        <w:gridCol w:w="822"/>
        <w:gridCol w:w="966"/>
        <w:gridCol w:w="883"/>
      </w:tblGrid>
      <w:tr w:rsidR="00F22D1E" w:rsidRPr="00ED6472" w:rsidTr="00F22D1E">
        <w:trPr>
          <w:trHeight w:val="9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sz w:val="22"/>
                <w:szCs w:val="22"/>
              </w:rPr>
            </w:pPr>
            <w:r w:rsidRPr="00ED6472">
              <w:rPr>
                <w:sz w:val="22"/>
                <w:szCs w:val="22"/>
              </w:rPr>
              <w:t>Код раздела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ED6472">
              <w:rPr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Утвержд. годовые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показат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ED6472">
              <w:rPr>
                <w:b/>
                <w:bCs/>
                <w:sz w:val="22"/>
                <w:szCs w:val="22"/>
              </w:rPr>
              <w:t>Прогноз на 1полуг. 2017г.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Испол</w:t>
            </w:r>
            <w:proofErr w:type="spellEnd"/>
            <w:r w:rsidRPr="00ED6472">
              <w:rPr>
                <w:b/>
                <w:bCs/>
                <w:sz w:val="22"/>
                <w:szCs w:val="22"/>
              </w:rPr>
              <w:t>. за 1полуг. 2017г.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Отклон</w:t>
            </w:r>
            <w:proofErr w:type="spellEnd"/>
            <w:r>
              <w:rPr>
                <w:b/>
                <w:bCs/>
                <w:sz w:val="20"/>
                <w:szCs w:val="20"/>
              </w:rPr>
              <w:t>. от прогноз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0"/>
                <w:szCs w:val="20"/>
              </w:rPr>
            </w:pPr>
            <w:r w:rsidRPr="00ED6472">
              <w:rPr>
                <w:b/>
                <w:bCs/>
                <w:sz w:val="20"/>
                <w:szCs w:val="20"/>
              </w:rPr>
              <w:t>% исполнения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0"/>
                <w:szCs w:val="20"/>
              </w:rPr>
            </w:pPr>
            <w:r w:rsidRPr="00ED6472">
              <w:rPr>
                <w:b/>
                <w:bCs/>
                <w:sz w:val="20"/>
                <w:szCs w:val="20"/>
              </w:rPr>
              <w:t xml:space="preserve">Исп. по </w:t>
            </w:r>
            <w:proofErr w:type="spellStart"/>
            <w:r w:rsidRPr="00ED6472">
              <w:rPr>
                <w:b/>
                <w:bCs/>
                <w:sz w:val="20"/>
                <w:szCs w:val="20"/>
              </w:rPr>
              <w:t>отн</w:t>
            </w:r>
            <w:proofErr w:type="spellEnd"/>
            <w:r w:rsidRPr="00ED6472">
              <w:rPr>
                <w:b/>
                <w:bCs/>
                <w:sz w:val="20"/>
                <w:szCs w:val="20"/>
              </w:rPr>
              <w:t xml:space="preserve"> к год. </w:t>
            </w:r>
            <w:proofErr w:type="spellStart"/>
            <w:proofErr w:type="gramStart"/>
            <w:r w:rsidRPr="00ED6472">
              <w:rPr>
                <w:b/>
                <w:bCs/>
                <w:sz w:val="20"/>
                <w:szCs w:val="20"/>
              </w:rPr>
              <w:t>показат</w:t>
            </w:r>
            <w:proofErr w:type="spellEnd"/>
            <w:r w:rsidRPr="00ED6472">
              <w:rPr>
                <w:b/>
                <w:bCs/>
                <w:sz w:val="20"/>
                <w:szCs w:val="20"/>
              </w:rPr>
              <w:t>.,</w:t>
            </w:r>
            <w:proofErr w:type="gramEnd"/>
            <w:r w:rsidRPr="00ED647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0"/>
                <w:szCs w:val="20"/>
              </w:rPr>
            </w:pPr>
            <w:r w:rsidRPr="00ED6472">
              <w:rPr>
                <w:b/>
                <w:bCs/>
                <w:sz w:val="20"/>
                <w:szCs w:val="20"/>
              </w:rPr>
              <w:t>Удельный вес</w:t>
            </w:r>
          </w:p>
        </w:tc>
      </w:tr>
      <w:tr w:rsidR="00F22D1E" w:rsidRPr="00ED6472" w:rsidTr="00F22D1E">
        <w:trPr>
          <w:trHeight w:val="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ED647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1E" w:rsidRPr="00ED6472" w:rsidRDefault="00F22D1E" w:rsidP="00F22D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22D1E" w:rsidRPr="00BF1A03" w:rsidTr="00F22D1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01 00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68 740,3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47 111,5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45 001,0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iCs/>
                <w:sz w:val="22"/>
                <w:szCs w:val="22"/>
              </w:rPr>
            </w:pPr>
            <w:r w:rsidRPr="00BF1A03">
              <w:rPr>
                <w:iCs/>
                <w:sz w:val="22"/>
                <w:szCs w:val="22"/>
              </w:rPr>
              <w:t>-2 110,5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95,5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Cs/>
                <w:sz w:val="20"/>
                <w:szCs w:val="20"/>
              </w:rPr>
            </w:pPr>
            <w:r w:rsidRPr="00BF1A03">
              <w:rPr>
                <w:bCs/>
                <w:sz w:val="20"/>
                <w:szCs w:val="20"/>
              </w:rPr>
              <w:t>65,4652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54,7</w:t>
            </w:r>
          </w:p>
        </w:tc>
      </w:tr>
      <w:tr w:rsidR="00F22D1E" w:rsidRPr="00BF1A03" w:rsidTr="00F22D1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04 00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1 272,6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575,0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505,6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iCs/>
                <w:sz w:val="22"/>
                <w:szCs w:val="22"/>
              </w:rPr>
            </w:pPr>
            <w:r w:rsidRPr="00BF1A03">
              <w:rPr>
                <w:iCs/>
                <w:sz w:val="22"/>
                <w:szCs w:val="22"/>
              </w:rPr>
              <w:t>-69,4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87,9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39,7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0,6</w:t>
            </w:r>
          </w:p>
        </w:tc>
      </w:tr>
      <w:tr w:rsidR="00F22D1E" w:rsidRPr="00BF1A03" w:rsidTr="00F22D1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07 00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79 517,4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33 330,9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28 031,7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iCs/>
                <w:sz w:val="22"/>
                <w:szCs w:val="22"/>
              </w:rPr>
            </w:pPr>
            <w:r w:rsidRPr="00BF1A03">
              <w:rPr>
                <w:iCs/>
                <w:sz w:val="22"/>
                <w:szCs w:val="22"/>
              </w:rPr>
              <w:t>-5 299,2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84,1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35,3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34,1</w:t>
            </w:r>
          </w:p>
        </w:tc>
      </w:tr>
      <w:tr w:rsidR="00F22D1E" w:rsidRPr="00BF1A03" w:rsidTr="00F22D1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08 00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14 398,0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6 098,4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5 569,6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iCs/>
                <w:sz w:val="22"/>
                <w:szCs w:val="22"/>
              </w:rPr>
            </w:pPr>
            <w:r w:rsidRPr="00BF1A03">
              <w:rPr>
                <w:iCs/>
                <w:sz w:val="22"/>
                <w:szCs w:val="22"/>
              </w:rPr>
              <w:t>-528,8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38,7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6,8</w:t>
            </w:r>
          </w:p>
        </w:tc>
      </w:tr>
      <w:tr w:rsidR="00F22D1E" w:rsidRPr="00BF1A03" w:rsidTr="00F22D1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09 00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Культура и искусство, СМИ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4 123,2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2 180,2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1 879,3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iCs/>
                <w:sz w:val="22"/>
                <w:szCs w:val="22"/>
              </w:rPr>
            </w:pPr>
            <w:r w:rsidRPr="00BF1A03">
              <w:rPr>
                <w:iCs/>
                <w:sz w:val="22"/>
                <w:szCs w:val="22"/>
              </w:rPr>
              <w:t>-300,9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86,2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45,6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2,3</w:t>
            </w:r>
          </w:p>
        </w:tc>
      </w:tr>
      <w:tr w:rsidR="00F22D1E" w:rsidRPr="00BF1A03" w:rsidTr="00F22D1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10 00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 xml:space="preserve">Физическая культура и спорт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1 456,8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676,8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665,7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iCs/>
                <w:sz w:val="22"/>
                <w:szCs w:val="22"/>
              </w:rPr>
            </w:pPr>
            <w:r w:rsidRPr="00BF1A03">
              <w:rPr>
                <w:iCs/>
                <w:sz w:val="22"/>
                <w:szCs w:val="22"/>
              </w:rPr>
              <w:t>-11,1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98,4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45,7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0,8</w:t>
            </w:r>
          </w:p>
        </w:tc>
      </w:tr>
      <w:tr w:rsidR="00F22D1E" w:rsidRPr="00BF1A03" w:rsidTr="00F22D1E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11 00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 xml:space="preserve"> Социальная политика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1 701,6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779,0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662,1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-116,9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85,0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38,9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sz w:val="22"/>
                <w:szCs w:val="22"/>
              </w:rPr>
            </w:pPr>
            <w:r w:rsidRPr="00BF1A03">
              <w:rPr>
                <w:sz w:val="22"/>
                <w:szCs w:val="22"/>
              </w:rPr>
              <w:t>0,8</w:t>
            </w:r>
          </w:p>
        </w:tc>
      </w:tr>
      <w:tr w:rsidR="00F22D1E" w:rsidRPr="00BF1A03" w:rsidTr="00F22D1E">
        <w:trPr>
          <w:trHeight w:val="449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BF1A03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BF1A03">
              <w:rPr>
                <w:b/>
                <w:bCs/>
                <w:sz w:val="22"/>
                <w:szCs w:val="22"/>
              </w:rPr>
              <w:t>171 209,9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BF1A03">
              <w:rPr>
                <w:b/>
                <w:bCs/>
                <w:sz w:val="22"/>
                <w:szCs w:val="22"/>
              </w:rPr>
              <w:t>90 751,8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BF1A03">
              <w:rPr>
                <w:b/>
                <w:bCs/>
                <w:sz w:val="22"/>
                <w:szCs w:val="22"/>
              </w:rPr>
              <w:t>82 315,0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BF1A03">
              <w:rPr>
                <w:b/>
                <w:bCs/>
                <w:iCs/>
                <w:sz w:val="22"/>
                <w:szCs w:val="22"/>
              </w:rPr>
              <w:t>-8 436,8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BF1A03">
              <w:rPr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BF1A03">
              <w:rPr>
                <w:b/>
                <w:bCs/>
                <w:sz w:val="22"/>
                <w:szCs w:val="22"/>
              </w:rPr>
              <w:t>48,1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D1E" w:rsidRPr="00BF1A03" w:rsidRDefault="00F22D1E" w:rsidP="00F22D1E">
            <w:pPr>
              <w:jc w:val="both"/>
              <w:rPr>
                <w:b/>
                <w:bCs/>
                <w:sz w:val="22"/>
                <w:szCs w:val="22"/>
              </w:rPr>
            </w:pPr>
            <w:r w:rsidRPr="00BF1A03"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F22D1E" w:rsidRPr="00BF1A03" w:rsidRDefault="00F22D1E" w:rsidP="0014736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080864" w:rsidRDefault="00BB206F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C4F16">
        <w:rPr>
          <w:i/>
          <w:sz w:val="28"/>
          <w:szCs w:val="28"/>
        </w:rPr>
        <w:lastRenderedPageBreak/>
        <w:t>По разделу 0100 «Общегосударственные вопросы»</w:t>
      </w:r>
      <w:r>
        <w:rPr>
          <w:sz w:val="28"/>
          <w:szCs w:val="28"/>
        </w:rPr>
        <w:t xml:space="preserve"> расходы составили 45 001,0 тыс. руб.,</w:t>
      </w:r>
      <w:r w:rsidR="00AD0934">
        <w:rPr>
          <w:sz w:val="28"/>
          <w:szCs w:val="28"/>
        </w:rPr>
        <w:t xml:space="preserve"> при </w:t>
      </w:r>
      <w:r w:rsidR="00255F11">
        <w:rPr>
          <w:sz w:val="28"/>
          <w:szCs w:val="28"/>
        </w:rPr>
        <w:t xml:space="preserve">прогнозе </w:t>
      </w:r>
      <w:r w:rsidR="00AD0934" w:rsidRPr="00AD0934">
        <w:rPr>
          <w:sz w:val="28"/>
          <w:szCs w:val="28"/>
        </w:rPr>
        <w:t>47 111,5</w:t>
      </w:r>
      <w:r w:rsidR="00AD0934">
        <w:rPr>
          <w:sz w:val="28"/>
          <w:szCs w:val="28"/>
        </w:rPr>
        <w:t xml:space="preserve"> </w:t>
      </w:r>
      <w:r w:rsidR="00AD0934" w:rsidRPr="00AD0934">
        <w:rPr>
          <w:sz w:val="28"/>
          <w:szCs w:val="28"/>
        </w:rPr>
        <w:t>тыс. руб.</w:t>
      </w:r>
      <w:r w:rsidR="00080864" w:rsidRPr="00AD0934">
        <w:rPr>
          <w:sz w:val="28"/>
          <w:szCs w:val="28"/>
        </w:rPr>
        <w:t xml:space="preserve">, </w:t>
      </w:r>
      <w:r w:rsidR="0008086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="009B4B84">
        <w:rPr>
          <w:sz w:val="28"/>
          <w:szCs w:val="28"/>
        </w:rPr>
        <w:t>-</w:t>
      </w:r>
      <w:r w:rsidR="004A3B7E">
        <w:rPr>
          <w:sz w:val="28"/>
          <w:szCs w:val="28"/>
        </w:rPr>
        <w:t xml:space="preserve"> 95,5%. П</w:t>
      </w:r>
      <w:r w:rsidR="004C4F16" w:rsidRPr="004C4F16">
        <w:rPr>
          <w:sz w:val="28"/>
          <w:szCs w:val="28"/>
        </w:rPr>
        <w:t xml:space="preserve">о ст. </w:t>
      </w:r>
      <w:r w:rsidR="004C4F16">
        <w:rPr>
          <w:sz w:val="28"/>
          <w:szCs w:val="28"/>
        </w:rPr>
        <w:t xml:space="preserve">240 </w:t>
      </w:r>
      <w:r w:rsidR="004C4F16" w:rsidRPr="004C4F16">
        <w:rPr>
          <w:sz w:val="28"/>
          <w:szCs w:val="28"/>
        </w:rPr>
        <w:t>«безвозмездные перечисления организациям» при п</w:t>
      </w:r>
      <w:r w:rsidR="00255F11">
        <w:rPr>
          <w:sz w:val="28"/>
          <w:szCs w:val="28"/>
        </w:rPr>
        <w:t>рогноз</w:t>
      </w:r>
      <w:r w:rsidR="004C4F16" w:rsidRPr="004C4F16">
        <w:rPr>
          <w:sz w:val="28"/>
          <w:szCs w:val="28"/>
        </w:rPr>
        <w:t>е 3 650,0 тыс. ру</w:t>
      </w:r>
      <w:r w:rsidR="00BF1A03">
        <w:rPr>
          <w:sz w:val="28"/>
          <w:szCs w:val="28"/>
        </w:rPr>
        <w:t>б.</w:t>
      </w:r>
      <w:r w:rsidR="002E744E">
        <w:rPr>
          <w:sz w:val="28"/>
          <w:szCs w:val="28"/>
        </w:rPr>
        <w:t xml:space="preserve"> фактические</w:t>
      </w:r>
      <w:r w:rsidR="004A3B7E">
        <w:rPr>
          <w:sz w:val="28"/>
          <w:szCs w:val="28"/>
        </w:rPr>
        <w:t xml:space="preserve"> расходы составили </w:t>
      </w:r>
      <w:r w:rsidR="004C4F16" w:rsidRPr="004C4F16">
        <w:rPr>
          <w:sz w:val="28"/>
          <w:szCs w:val="28"/>
        </w:rPr>
        <w:t>4 350,0 тыс. руб.</w:t>
      </w:r>
      <w:r w:rsidR="004A3B7E">
        <w:rPr>
          <w:sz w:val="28"/>
          <w:szCs w:val="28"/>
        </w:rPr>
        <w:t>,</w:t>
      </w:r>
      <w:r w:rsidR="004A3B7E" w:rsidRPr="004A3B7E">
        <w:t xml:space="preserve"> </w:t>
      </w:r>
      <w:r w:rsidR="004A3B7E" w:rsidRPr="004A3B7E">
        <w:rPr>
          <w:sz w:val="28"/>
          <w:szCs w:val="28"/>
        </w:rPr>
        <w:t>перевыполнение расходов</w:t>
      </w:r>
      <w:r w:rsidR="00BF1A03">
        <w:rPr>
          <w:sz w:val="28"/>
          <w:szCs w:val="28"/>
        </w:rPr>
        <w:t xml:space="preserve"> осуществлено за счет средств</w:t>
      </w:r>
      <w:r w:rsidR="004A3B7E">
        <w:rPr>
          <w:sz w:val="28"/>
          <w:szCs w:val="28"/>
        </w:rPr>
        <w:t xml:space="preserve"> резервного фонда Администрации Гулрыпшского района (700,0 тыс. руб.), направленных на приобретение электродвигателей и насосов для Багбаранской насосной станции.</w:t>
      </w:r>
      <w:r w:rsidR="005D7C1A">
        <w:rPr>
          <w:sz w:val="28"/>
          <w:szCs w:val="28"/>
        </w:rPr>
        <w:t xml:space="preserve"> (Распоряжение Премьер-Министра Республики Абхазия от 11.07.2017 года №234-р)</w:t>
      </w:r>
    </w:p>
    <w:p w:rsidR="006F47FE" w:rsidRDefault="00424844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4844">
        <w:rPr>
          <w:i/>
          <w:sz w:val="28"/>
          <w:szCs w:val="28"/>
        </w:rPr>
        <w:t xml:space="preserve">По разделу 0400 «Национальная экономика» </w:t>
      </w:r>
      <w:r w:rsidR="00CA77DF" w:rsidRPr="00CA77DF">
        <w:rPr>
          <w:sz w:val="28"/>
          <w:szCs w:val="28"/>
        </w:rPr>
        <w:t>расходы составили</w:t>
      </w:r>
      <w:r w:rsidR="00CA77DF">
        <w:rPr>
          <w:i/>
          <w:sz w:val="28"/>
          <w:szCs w:val="28"/>
        </w:rPr>
        <w:t xml:space="preserve"> </w:t>
      </w:r>
      <w:r w:rsidR="002E744E">
        <w:rPr>
          <w:sz w:val="28"/>
          <w:szCs w:val="28"/>
        </w:rPr>
        <w:t xml:space="preserve">505,6 тыс. руб., </w:t>
      </w:r>
      <w:r w:rsidR="009B4B84">
        <w:rPr>
          <w:sz w:val="28"/>
          <w:szCs w:val="28"/>
        </w:rPr>
        <w:t xml:space="preserve">при </w:t>
      </w:r>
      <w:r w:rsidR="00641FAE">
        <w:rPr>
          <w:sz w:val="28"/>
          <w:szCs w:val="28"/>
        </w:rPr>
        <w:t xml:space="preserve">прогнозе </w:t>
      </w:r>
      <w:r w:rsidR="002706CE">
        <w:rPr>
          <w:sz w:val="28"/>
          <w:szCs w:val="28"/>
        </w:rPr>
        <w:t>575,0</w:t>
      </w:r>
      <w:r w:rsidR="002706CE" w:rsidRPr="002706CE">
        <w:t xml:space="preserve"> </w:t>
      </w:r>
      <w:r w:rsidR="002706CE" w:rsidRPr="002706CE">
        <w:rPr>
          <w:sz w:val="28"/>
          <w:szCs w:val="28"/>
        </w:rPr>
        <w:t>тыс. руб.,</w:t>
      </w:r>
      <w:r w:rsidR="002706CE">
        <w:rPr>
          <w:sz w:val="28"/>
          <w:szCs w:val="28"/>
        </w:rPr>
        <w:t xml:space="preserve"> </w:t>
      </w:r>
      <w:r w:rsidR="009B4B84">
        <w:rPr>
          <w:sz w:val="28"/>
          <w:szCs w:val="28"/>
        </w:rPr>
        <w:t>или 87,9% исполнения.</w:t>
      </w:r>
      <w:r w:rsidR="006F47FE">
        <w:rPr>
          <w:sz w:val="28"/>
          <w:szCs w:val="28"/>
        </w:rPr>
        <w:t xml:space="preserve"> </w:t>
      </w:r>
    </w:p>
    <w:p w:rsidR="009B4B84" w:rsidRDefault="009B4B84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B4B84">
        <w:rPr>
          <w:i/>
          <w:sz w:val="28"/>
          <w:szCs w:val="28"/>
        </w:rPr>
        <w:t>По разделу 0700 «Образование»</w:t>
      </w:r>
      <w:r>
        <w:rPr>
          <w:sz w:val="28"/>
          <w:szCs w:val="28"/>
        </w:rPr>
        <w:t xml:space="preserve"> фактические расходы составили 28 031,7 тыс. руб., </w:t>
      </w:r>
      <w:r w:rsidR="00641FAE">
        <w:rPr>
          <w:sz w:val="28"/>
          <w:szCs w:val="28"/>
        </w:rPr>
        <w:t xml:space="preserve">прогнозный </w:t>
      </w:r>
      <w:r w:rsidR="008230B0">
        <w:rPr>
          <w:sz w:val="28"/>
          <w:szCs w:val="28"/>
        </w:rPr>
        <w:t>показатель - 33 330,9 тыс. руб. или 84,1% исполнения.</w:t>
      </w:r>
    </w:p>
    <w:p w:rsidR="008230B0" w:rsidRDefault="008230B0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8230B0">
        <w:rPr>
          <w:i/>
          <w:sz w:val="28"/>
          <w:szCs w:val="28"/>
        </w:rPr>
        <w:t xml:space="preserve">По разделу </w:t>
      </w:r>
      <w:r w:rsidR="008915CC">
        <w:rPr>
          <w:i/>
          <w:sz w:val="28"/>
          <w:szCs w:val="28"/>
        </w:rPr>
        <w:t xml:space="preserve">0800 </w:t>
      </w:r>
      <w:r w:rsidRPr="008230B0">
        <w:rPr>
          <w:i/>
          <w:sz w:val="28"/>
          <w:szCs w:val="28"/>
        </w:rPr>
        <w:t xml:space="preserve">«Здравоохранение» </w:t>
      </w:r>
      <w:r w:rsidR="0025137D" w:rsidRPr="0025137D">
        <w:rPr>
          <w:sz w:val="28"/>
          <w:szCs w:val="28"/>
        </w:rPr>
        <w:t xml:space="preserve">при </w:t>
      </w:r>
      <w:r w:rsidR="0025137D">
        <w:rPr>
          <w:sz w:val="28"/>
          <w:szCs w:val="28"/>
        </w:rPr>
        <w:t>плановом показателе 6</w:t>
      </w:r>
      <w:r>
        <w:rPr>
          <w:sz w:val="28"/>
          <w:szCs w:val="28"/>
        </w:rPr>
        <w:t> 098,4 т</w:t>
      </w:r>
      <w:r w:rsidR="0025137D">
        <w:rPr>
          <w:sz w:val="28"/>
          <w:szCs w:val="28"/>
        </w:rPr>
        <w:t xml:space="preserve">ыс. руб., фактическое исполнение составило 5 569,6 тыс. руб.,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или 91,3%</w:t>
      </w:r>
      <w:r w:rsidR="004F7AE8" w:rsidRPr="004F7AE8">
        <w:t xml:space="preserve"> </w:t>
      </w:r>
      <w:r w:rsidR="004F7AE8" w:rsidRPr="004F7AE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исполнения.</w:t>
      </w:r>
    </w:p>
    <w:p w:rsidR="00657787" w:rsidRDefault="00657787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57787">
        <w:rPr>
          <w:rFonts w:ascii="Times New Roman CYR" w:eastAsiaTheme="minorHAnsi" w:hAnsi="Times New Roman CYR" w:cs="Times New Roman CYR"/>
          <w:i/>
          <w:color w:val="000000"/>
          <w:sz w:val="28"/>
          <w:szCs w:val="28"/>
          <w:lang w:eastAsia="en-US"/>
        </w:rPr>
        <w:t>По разделу</w:t>
      </w:r>
      <w:r w:rsidR="008915CC">
        <w:rPr>
          <w:rFonts w:ascii="Times New Roman CYR" w:eastAsiaTheme="minorHAnsi" w:hAnsi="Times New Roman CYR" w:cs="Times New Roman CYR"/>
          <w:i/>
          <w:color w:val="000000"/>
          <w:sz w:val="28"/>
          <w:szCs w:val="28"/>
          <w:lang w:eastAsia="en-US"/>
        </w:rPr>
        <w:t xml:space="preserve"> 0900</w:t>
      </w:r>
      <w:r w:rsidRPr="00657787">
        <w:rPr>
          <w:rFonts w:ascii="Times New Roman CYR" w:eastAsiaTheme="minorHAnsi" w:hAnsi="Times New Roman CYR" w:cs="Times New Roman CYR"/>
          <w:i/>
          <w:color w:val="000000"/>
          <w:sz w:val="28"/>
          <w:szCs w:val="28"/>
          <w:lang w:eastAsia="en-US"/>
        </w:rPr>
        <w:t xml:space="preserve"> «Культура и искусство, СМИ»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расходы составили 1 879,3 тыс. руб.,</w:t>
      </w:r>
      <w:r w:rsidR="004F7AE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что на 300,9 тыс. руб. меньше прогнозного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показателя</w:t>
      </w:r>
      <w:r w:rsidR="00695E3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695E3B" w:rsidRPr="00695E3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2 180,2</w:t>
      </w:r>
      <w:r w:rsidR="00695E3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695E3B" w:rsidRPr="00695E3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тыс. руб</w:t>
      </w:r>
      <w:r w:rsidR="00695E3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.,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или 86,2% исполнения. </w:t>
      </w:r>
    </w:p>
    <w:p w:rsidR="00657787" w:rsidRDefault="008915CC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8915CC">
        <w:rPr>
          <w:rFonts w:ascii="Times New Roman CYR" w:eastAsiaTheme="minorHAnsi" w:hAnsi="Times New Roman CYR" w:cs="Times New Roman CYR"/>
          <w:i/>
          <w:color w:val="000000"/>
          <w:sz w:val="28"/>
          <w:szCs w:val="28"/>
          <w:lang w:eastAsia="en-US"/>
        </w:rPr>
        <w:t>По разделу 1000 «Физическая культура и спорт»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при </w:t>
      </w:r>
      <w:r w:rsidR="004C2C1F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прогнозе </w:t>
      </w:r>
      <w:r w:rsidR="002E3A8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676,8 тыс. руб., фактические расходы составили 665,7 тыс. руб., что на 11,1 тыс. руб. меньше </w:t>
      </w:r>
      <w:r w:rsidR="00AE45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запланированного</w:t>
      </w:r>
      <w:r w:rsidR="002E3A8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AE45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или 98</w:t>
      </w:r>
      <w:r w:rsidR="002E3A8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,4%</w:t>
      </w:r>
      <w:r w:rsidR="000C2C34" w:rsidRPr="000C2C34">
        <w:t xml:space="preserve"> </w:t>
      </w:r>
      <w:r w:rsidR="000C2C34" w:rsidRPr="000C2C3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исполнения</w:t>
      </w:r>
      <w:r w:rsidR="002E3A8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 w:rsidR="00AE45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</w:p>
    <w:p w:rsidR="006F47FE" w:rsidRDefault="008609A7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8609A7">
        <w:rPr>
          <w:rFonts w:ascii="Times New Roman CYR" w:eastAsiaTheme="minorHAnsi" w:hAnsi="Times New Roman CYR" w:cs="Times New Roman CYR"/>
          <w:i/>
          <w:color w:val="000000"/>
          <w:sz w:val="28"/>
          <w:szCs w:val="28"/>
          <w:lang w:eastAsia="en-US"/>
        </w:rPr>
        <w:t>По разделу</w:t>
      </w:r>
      <w:r w:rsidR="00D62AC8">
        <w:rPr>
          <w:rFonts w:ascii="Times New Roman CYR" w:eastAsiaTheme="minorHAnsi" w:hAnsi="Times New Roman CYR" w:cs="Times New Roman CYR"/>
          <w:i/>
          <w:color w:val="000000"/>
          <w:sz w:val="28"/>
          <w:szCs w:val="28"/>
          <w:lang w:eastAsia="en-US"/>
        </w:rPr>
        <w:t xml:space="preserve"> 1100</w:t>
      </w:r>
      <w:r w:rsidRPr="008609A7">
        <w:rPr>
          <w:rFonts w:ascii="Times New Roman CYR" w:eastAsiaTheme="minorHAnsi" w:hAnsi="Times New Roman CYR" w:cs="Times New Roman CYR"/>
          <w:i/>
          <w:color w:val="000000"/>
          <w:sz w:val="28"/>
          <w:szCs w:val="28"/>
          <w:lang w:eastAsia="en-US"/>
        </w:rPr>
        <w:t xml:space="preserve"> «Социальна политика»</w:t>
      </w:r>
      <w:r w:rsidR="00D62AC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фактические расходы составили 662,1 тыс. руб.</w:t>
      </w:r>
      <w:r w:rsidR="00057C8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при </w:t>
      </w:r>
      <w:r w:rsidR="00772D1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прогнозе </w:t>
      </w:r>
      <w:r w:rsidR="00057C8A" w:rsidRPr="00057C8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779,0</w:t>
      </w:r>
      <w:r w:rsidR="00057C8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тыс. руб.</w:t>
      </w:r>
      <w:r w:rsidR="00772D1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,</w:t>
      </w:r>
      <w:r w:rsidR="00772D17" w:rsidRPr="00772D17">
        <w:t xml:space="preserve"> </w:t>
      </w:r>
      <w:r w:rsidR="00772D1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исполнение - 85%.</w:t>
      </w:r>
    </w:p>
    <w:p w:rsidR="00837CF5" w:rsidRDefault="00837CF5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Таким образом, не исполнены в прогнозируемом объёме расходные обязательства по всем разделам бюджетной классификации.</w:t>
      </w:r>
    </w:p>
    <w:p w:rsidR="00837CF5" w:rsidRDefault="00837CF5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837CF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Необходимо отметить, что Финансовым органом Администрации Гулрыпшского района не представлены причины неисполнения расходной части бюджета.</w:t>
      </w:r>
    </w:p>
    <w:p w:rsidR="00E746F7" w:rsidRDefault="004711DD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 xml:space="preserve">В полном объеме исполнены целевые средства, поступившие из Резервного фонда Президента Республики Абхазия в соответствии с Распоряжением Президента Республики Абхазия в сумме 11 991,6 тыс. руб. </w:t>
      </w:r>
      <w:r w:rsidR="008E302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Средства были направлены н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а расчистку русел реки Кодор</w:t>
      </w:r>
      <w:r w:rsidR="008E302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- 2 000,0 тыс. руб., на расчистку русел рек Дранка и </w:t>
      </w:r>
      <w:proofErr w:type="spellStart"/>
      <w:r w:rsidR="008E302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Кодорка</w:t>
      </w:r>
      <w:proofErr w:type="spellEnd"/>
      <w:r w:rsidR="00FC6F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- 9 991,6 тыс. руб.</w:t>
      </w:r>
    </w:p>
    <w:p w:rsidR="0006703D" w:rsidRPr="00BD623E" w:rsidRDefault="0006703D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4B6143" w:rsidRPr="004B6143" w:rsidRDefault="004B6143" w:rsidP="00E72E0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4B6143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 xml:space="preserve">По результатам проведенного анализа отчета об исполнении бюджета Гулрыпшского </w:t>
      </w:r>
      <w:r w:rsidR="00D75319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 xml:space="preserve">района за </w:t>
      </w:r>
      <w:r w:rsidR="00D75319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val="en-US" w:eastAsia="en-US"/>
        </w:rPr>
        <w:t>I</w:t>
      </w:r>
      <w:r w:rsidR="00D75319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>-ое</w:t>
      </w:r>
      <w:r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 xml:space="preserve"> полугодие 2017</w:t>
      </w:r>
      <w:r w:rsidRPr="004B6143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 xml:space="preserve"> год</w:t>
      </w:r>
      <w:r w:rsidR="003D5F55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 xml:space="preserve"> установлено</w:t>
      </w:r>
      <w:r w:rsidRPr="004B6143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>:</w:t>
      </w:r>
      <w:r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 xml:space="preserve"> </w:t>
      </w:r>
    </w:p>
    <w:p w:rsidR="002E224C" w:rsidRDefault="004B6143" w:rsidP="00EC786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Общий объем доходов за рассматриваемый период составил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62 539,5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тыс. руб. или </w:t>
      </w: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105,2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% </w:t>
      </w:r>
      <w:r w:rsid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исполнения. О</w:t>
      </w: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бщий объем расходов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82 315,0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тыс. руб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. или </w:t>
      </w: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90,7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% </w:t>
      </w:r>
      <w:r w:rsidRPr="004B614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исполнения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 w:rsidR="0063468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</w:p>
    <w:p w:rsidR="004B6143" w:rsidRDefault="00E72E02" w:rsidP="00E72E02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72E0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Остаток средств на 01.01.2017г. составлял 18 255,4 тыс. руб.,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</w:t>
      </w:r>
      <w:r w:rsidR="00C7029A" w:rsidRPr="00C7029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статок средств на 01.07.2017г. составил 10 380,8 тыс. руб.</w:t>
      </w:r>
      <w:r w:rsidR="002E224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C7029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2E224C" w:rsidRPr="002E224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соответствии с ч.4 ст. 49 Закона «Об основах бюджетного устройства и бюджетного процесса» остатки средств местного бюджета на начало текущего финансового года по решению местного органа государственного управления могут направляться в текущем финансовом году на покрытие временных кассовых разрывов, в то же время в Контрольную палату не поступила соответствующая информация об использовании остатка на сумму </w:t>
      </w:r>
      <w:r w:rsidR="00135DA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7 874,6 </w:t>
      </w:r>
      <w:r w:rsidR="002E224C" w:rsidRPr="002E224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тыс. руб.</w:t>
      </w:r>
    </w:p>
    <w:p w:rsidR="003D5F55" w:rsidRDefault="0063468D" w:rsidP="00EC786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Всего сверх прогнозируемых налоговых и неналоговых платежей в бюджет поступило </w:t>
      </w:r>
      <w:r w:rsidR="00680B4E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 6 382,4</w:t>
      </w:r>
      <w:r w:rsidR="00647166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тыс. руб</w:t>
      </w:r>
      <w:r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 w:rsidR="00B7610A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больше.</w:t>
      </w:r>
      <w:r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</w:p>
    <w:p w:rsidR="00680B4E" w:rsidRPr="003D5F55" w:rsidRDefault="00BA3299" w:rsidP="00EC786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Из 13</w:t>
      </w:r>
      <w:r w:rsidR="00680B4E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видов дохо</w:t>
      </w:r>
      <w:r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дов план не выполнен по 7</w:t>
      </w:r>
      <w:r w:rsidR="00B9287E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видам: налог на прибыль предприятий и организаций, земельный налог, налог на имущество предприятий, </w:t>
      </w:r>
      <w:r w:rsidR="00FE617D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госпошлина, доходы в виде арендной или иной платы за передачу в возмездное пользование государственного имущества,</w:t>
      </w:r>
      <w:r w:rsidRPr="00BA3299">
        <w:t xml:space="preserve"> </w:t>
      </w:r>
      <w:r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доходы от продажи гражданам в частную собственность жилья из муниципального жилищного фонда,</w:t>
      </w:r>
      <w:r w:rsidR="00FE617D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платежи за пользование лесным </w:t>
      </w:r>
      <w:r w:rsidR="00FE617D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фондом</w:t>
      </w:r>
      <w:r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 w:rsidR="003D5F55" w:rsidRPr="003D5F5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3D5F55" w:rsidRPr="00680B4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Всего не исполнено прогнозируемых налоговых и неналоговых платежей на сумму 1 246,6 тыс. руб.</w:t>
      </w:r>
      <w:r w:rsidR="003D5F55" w:rsidRPr="00680B4E">
        <w:t xml:space="preserve"> </w:t>
      </w:r>
    </w:p>
    <w:p w:rsidR="00B9698F" w:rsidRDefault="00B9698F" w:rsidP="00EC786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Запланированная дотация из Республиканского бюджета недопоступила в сумме 2 037,7 тыс. руб.</w:t>
      </w:r>
    </w:p>
    <w:p w:rsidR="00B7610A" w:rsidRDefault="00B7610A" w:rsidP="005F27F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бюджет Гулрыпшского района из резервного фонда Президента Республики Абхазия поступили целевые денежные средства в сумме 11 991,6 тыс. руб.</w:t>
      </w:r>
      <w:r w:rsid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160A9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Средства были направлены </w:t>
      </w:r>
      <w:r w:rsid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на </w:t>
      </w:r>
      <w:r w:rsidR="005F27F0" w:rsidRP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расчистку русел реки Кодор - 2 000,0 тыс. руб., на расчистку русел </w:t>
      </w:r>
      <w:proofErr w:type="gramStart"/>
      <w:r w:rsidR="005F27F0" w:rsidRP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рек </w:t>
      </w:r>
      <w:r w:rsidR="00160A9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5F27F0" w:rsidRP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Дранка</w:t>
      </w:r>
      <w:proofErr w:type="gramEnd"/>
      <w:r w:rsidR="005F27F0" w:rsidRP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и </w:t>
      </w:r>
      <w:proofErr w:type="spellStart"/>
      <w:r w:rsidR="005F27F0" w:rsidRP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Кодорка</w:t>
      </w:r>
      <w:proofErr w:type="spellEnd"/>
      <w:r w:rsidR="005F27F0" w:rsidRPr="005F27F0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- 9 991,6 тыс. руб.</w:t>
      </w:r>
    </w:p>
    <w:p w:rsidR="00D75319" w:rsidRDefault="00D75319" w:rsidP="00EC786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Расходная часть бюджета Гулрыпшского района за 1 полугодие 2017 года в прогнозном объёме не исполняется.</w:t>
      </w:r>
    </w:p>
    <w:p w:rsidR="000E7C31" w:rsidRPr="00B9698F" w:rsidRDefault="00B9698F" w:rsidP="00EC786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B9698F"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расходной части бюджета Гулрыпшского района</w:t>
      </w:r>
      <w:r w:rsidRPr="00B9698F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отражены расходы, финансирование которых было произведено из резервного фонда Президента Республики Абхазия, что является ошибочным, т.к. расходы, осуществленные за счет средств резервного фонда Президента Республики Абхазия являются расходами республиканского бюджета и должны отражаться в отдельном учете. Тем самым включение вышеуказанных расходов Республиканского бюджета приводит к искусственному завышению исполнения расходной части местного бюджета, т.е. к двойному учету. Таким образом, нарушаются параметры Государственного бюджета, утвержденные в ст.1 Закона Республики Абхазия от 30.12.2016г. №4322-с-V «О Республиканском бюджете на 2017 год».   </w:t>
      </w:r>
    </w:p>
    <w:p w:rsidR="00840BDF" w:rsidRPr="00EB5454" w:rsidRDefault="00840BDF" w:rsidP="00EB5454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876632" w:rsidRPr="0006703D" w:rsidRDefault="00876632" w:rsidP="0006703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horzAnchor="margin" w:tblpXSpec="center" w:tblpY="-1140"/>
        <w:tblW w:w="8804" w:type="dxa"/>
        <w:tblLook w:val="04A0" w:firstRow="1" w:lastRow="0" w:firstColumn="1" w:lastColumn="0" w:noHBand="0" w:noVBand="1"/>
      </w:tblPr>
      <w:tblGrid>
        <w:gridCol w:w="1059"/>
        <w:gridCol w:w="4073"/>
        <w:gridCol w:w="3672"/>
      </w:tblGrid>
      <w:tr w:rsidR="00876632" w:rsidRPr="00876632" w:rsidTr="00F22D1E">
        <w:trPr>
          <w:trHeight w:val="36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32" w:rsidRPr="00876632" w:rsidRDefault="00876632" w:rsidP="00876632">
            <w:pPr>
              <w:rPr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32" w:rsidRPr="00876632" w:rsidRDefault="00876632" w:rsidP="008766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632" w:rsidRPr="00876632" w:rsidRDefault="00876632" w:rsidP="00876632">
            <w:pPr>
              <w:jc w:val="center"/>
              <w:rPr>
                <w:sz w:val="20"/>
                <w:szCs w:val="20"/>
              </w:rPr>
            </w:pPr>
          </w:p>
        </w:tc>
      </w:tr>
      <w:tr w:rsidR="00876632" w:rsidRPr="00876632" w:rsidTr="00F22D1E">
        <w:trPr>
          <w:trHeight w:val="56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32" w:rsidRPr="00876632" w:rsidRDefault="00876632" w:rsidP="00876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632" w:rsidRPr="00876632" w:rsidRDefault="00876632" w:rsidP="008766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632" w:rsidRPr="00876632" w:rsidRDefault="00876632" w:rsidP="00876632">
            <w:pPr>
              <w:rPr>
                <w:sz w:val="20"/>
                <w:szCs w:val="20"/>
              </w:rPr>
            </w:pPr>
          </w:p>
        </w:tc>
      </w:tr>
    </w:tbl>
    <w:p w:rsidR="00047D68" w:rsidRDefault="00047D68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EC7868" w:rsidRDefault="00EC7868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EC7868" w:rsidRDefault="00EC7868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147364" w:rsidRDefault="00147364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147364" w:rsidRDefault="00147364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147364" w:rsidRDefault="00147364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147364" w:rsidRDefault="00147364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147364" w:rsidRDefault="00147364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147364" w:rsidRDefault="00147364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147364" w:rsidRDefault="00147364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EC7868" w:rsidRDefault="00EC7868" w:rsidP="0006703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047D68" w:rsidRPr="00047D68" w:rsidRDefault="00047D68" w:rsidP="00047D68">
      <w:r>
        <w:t>Исполнитель: ведущий инспектор информационно-аналитического отдела Антелава Р.Л.</w:t>
      </w:r>
    </w:p>
    <w:p w:rsidR="00047D68" w:rsidRDefault="00047D68" w:rsidP="00842A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18"/>
          <w:szCs w:val="18"/>
        </w:rPr>
      </w:pPr>
    </w:p>
    <w:p w:rsidR="00047D68" w:rsidRPr="00876632" w:rsidRDefault="00047D68" w:rsidP="00842A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18"/>
          <w:szCs w:val="18"/>
        </w:rPr>
      </w:pPr>
    </w:p>
    <w:sectPr w:rsidR="00047D68" w:rsidRPr="008766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71D" w:rsidRDefault="0005771D" w:rsidP="00CE03E7">
      <w:r>
        <w:separator/>
      </w:r>
    </w:p>
  </w:endnote>
  <w:endnote w:type="continuationSeparator" w:id="0">
    <w:p w:rsidR="0005771D" w:rsidRDefault="0005771D" w:rsidP="00CE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638002"/>
      <w:docPartObj>
        <w:docPartGallery w:val="Page Numbers (Bottom of Page)"/>
        <w:docPartUnique/>
      </w:docPartObj>
    </w:sdtPr>
    <w:sdtEndPr/>
    <w:sdtContent>
      <w:p w:rsidR="002E224C" w:rsidRDefault="002E224C">
        <w:pPr>
          <w:pStyle w:val="a9"/>
          <w:jc w:val="right"/>
        </w:pPr>
      </w:p>
      <w:p w:rsidR="002E224C" w:rsidRDefault="002E224C">
        <w:pPr>
          <w:pStyle w:val="a9"/>
          <w:jc w:val="right"/>
          <w:rPr>
            <w:b/>
          </w:rPr>
        </w:pPr>
      </w:p>
      <w:p w:rsidR="002E224C" w:rsidRPr="0006703D" w:rsidRDefault="002E224C">
        <w:pPr>
          <w:pStyle w:val="a9"/>
          <w:jc w:val="right"/>
        </w:pPr>
        <w:r w:rsidRPr="0006703D">
          <w:fldChar w:fldCharType="begin"/>
        </w:r>
        <w:r w:rsidRPr="0006703D">
          <w:instrText>PAGE   \* MERGEFORMAT</w:instrText>
        </w:r>
        <w:r w:rsidRPr="0006703D">
          <w:fldChar w:fldCharType="separate"/>
        </w:r>
        <w:r w:rsidR="00147364">
          <w:rPr>
            <w:noProof/>
          </w:rPr>
          <w:t>11</w:t>
        </w:r>
        <w:r w:rsidRPr="0006703D">
          <w:fldChar w:fldCharType="end"/>
        </w:r>
      </w:p>
    </w:sdtContent>
  </w:sdt>
  <w:p w:rsidR="002E224C" w:rsidRDefault="002E22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71D" w:rsidRDefault="0005771D" w:rsidP="00CE03E7">
      <w:r>
        <w:separator/>
      </w:r>
    </w:p>
  </w:footnote>
  <w:footnote w:type="continuationSeparator" w:id="0">
    <w:p w:rsidR="0005771D" w:rsidRDefault="0005771D" w:rsidP="00CE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6796"/>
    <w:multiLevelType w:val="hybridMultilevel"/>
    <w:tmpl w:val="E780C90E"/>
    <w:lvl w:ilvl="0" w:tplc="7C207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0120C"/>
    <w:multiLevelType w:val="hybridMultilevel"/>
    <w:tmpl w:val="8FB8F40E"/>
    <w:lvl w:ilvl="0" w:tplc="7BE0BE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010E2"/>
    <w:multiLevelType w:val="hybridMultilevel"/>
    <w:tmpl w:val="58A4FEC8"/>
    <w:lvl w:ilvl="0" w:tplc="5122E1C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6172B3"/>
    <w:multiLevelType w:val="multilevel"/>
    <w:tmpl w:val="23828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52D1151"/>
    <w:multiLevelType w:val="hybridMultilevel"/>
    <w:tmpl w:val="7F7074C8"/>
    <w:lvl w:ilvl="0" w:tplc="8CCE422A">
      <w:start w:val="1"/>
      <w:numFmt w:val="decimal"/>
      <w:lvlText w:val="%1)"/>
      <w:lvlJc w:val="left"/>
      <w:pPr>
        <w:ind w:left="7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7452BF"/>
    <w:multiLevelType w:val="hybridMultilevel"/>
    <w:tmpl w:val="2CE221BC"/>
    <w:lvl w:ilvl="0" w:tplc="8068A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67"/>
    <w:rsid w:val="0000229D"/>
    <w:rsid w:val="00003F32"/>
    <w:rsid w:val="00012857"/>
    <w:rsid w:val="00022E63"/>
    <w:rsid w:val="000307F2"/>
    <w:rsid w:val="00047D68"/>
    <w:rsid w:val="00053A66"/>
    <w:rsid w:val="0005771D"/>
    <w:rsid w:val="00057C8A"/>
    <w:rsid w:val="0006703D"/>
    <w:rsid w:val="00072F63"/>
    <w:rsid w:val="0007751B"/>
    <w:rsid w:val="00080864"/>
    <w:rsid w:val="000809D9"/>
    <w:rsid w:val="0009029D"/>
    <w:rsid w:val="000A3139"/>
    <w:rsid w:val="000A7A6F"/>
    <w:rsid w:val="000C2C34"/>
    <w:rsid w:val="000E7C31"/>
    <w:rsid w:val="000F1CB6"/>
    <w:rsid w:val="00100170"/>
    <w:rsid w:val="00100D8E"/>
    <w:rsid w:val="0011549F"/>
    <w:rsid w:val="001156D2"/>
    <w:rsid w:val="00123D03"/>
    <w:rsid w:val="001254F2"/>
    <w:rsid w:val="00135DAD"/>
    <w:rsid w:val="00140AD6"/>
    <w:rsid w:val="001445C6"/>
    <w:rsid w:val="00147364"/>
    <w:rsid w:val="00160A9B"/>
    <w:rsid w:val="00175D8D"/>
    <w:rsid w:val="0019155D"/>
    <w:rsid w:val="001973F6"/>
    <w:rsid w:val="001B0E2E"/>
    <w:rsid w:val="001C32D5"/>
    <w:rsid w:val="001C6D89"/>
    <w:rsid w:val="001D2415"/>
    <w:rsid w:val="001D3D9E"/>
    <w:rsid w:val="001E1CBF"/>
    <w:rsid w:val="001E7989"/>
    <w:rsid w:val="001F1D69"/>
    <w:rsid w:val="00201B32"/>
    <w:rsid w:val="00211814"/>
    <w:rsid w:val="00212748"/>
    <w:rsid w:val="00224944"/>
    <w:rsid w:val="00225168"/>
    <w:rsid w:val="00226DF6"/>
    <w:rsid w:val="00233947"/>
    <w:rsid w:val="00250EBD"/>
    <w:rsid w:val="0025137D"/>
    <w:rsid w:val="00254FF6"/>
    <w:rsid w:val="00255F11"/>
    <w:rsid w:val="00264602"/>
    <w:rsid w:val="00265A3A"/>
    <w:rsid w:val="002706CE"/>
    <w:rsid w:val="00277E50"/>
    <w:rsid w:val="00294F08"/>
    <w:rsid w:val="002C2D54"/>
    <w:rsid w:val="002D1215"/>
    <w:rsid w:val="002E224C"/>
    <w:rsid w:val="002E3A8B"/>
    <w:rsid w:val="002E744E"/>
    <w:rsid w:val="00303968"/>
    <w:rsid w:val="00311597"/>
    <w:rsid w:val="00326440"/>
    <w:rsid w:val="0035061D"/>
    <w:rsid w:val="00351D82"/>
    <w:rsid w:val="0036100D"/>
    <w:rsid w:val="0038095B"/>
    <w:rsid w:val="003B25EC"/>
    <w:rsid w:val="003B37D4"/>
    <w:rsid w:val="003B3A7A"/>
    <w:rsid w:val="003C23D6"/>
    <w:rsid w:val="003D2D2B"/>
    <w:rsid w:val="003D5F55"/>
    <w:rsid w:val="00410223"/>
    <w:rsid w:val="00410AC8"/>
    <w:rsid w:val="00412A9E"/>
    <w:rsid w:val="00417D93"/>
    <w:rsid w:val="0042386A"/>
    <w:rsid w:val="00424844"/>
    <w:rsid w:val="00426C59"/>
    <w:rsid w:val="00452E03"/>
    <w:rsid w:val="00460050"/>
    <w:rsid w:val="004620C6"/>
    <w:rsid w:val="004647D0"/>
    <w:rsid w:val="00465898"/>
    <w:rsid w:val="004711DD"/>
    <w:rsid w:val="004A3B7E"/>
    <w:rsid w:val="004B6143"/>
    <w:rsid w:val="004C2C1F"/>
    <w:rsid w:val="004C32C0"/>
    <w:rsid w:val="004C3D32"/>
    <w:rsid w:val="004C4F16"/>
    <w:rsid w:val="004D09A8"/>
    <w:rsid w:val="004F7AE8"/>
    <w:rsid w:val="00513A76"/>
    <w:rsid w:val="00534F7B"/>
    <w:rsid w:val="0055040B"/>
    <w:rsid w:val="005505D4"/>
    <w:rsid w:val="00551346"/>
    <w:rsid w:val="005526D2"/>
    <w:rsid w:val="00553DC0"/>
    <w:rsid w:val="0057408A"/>
    <w:rsid w:val="00591CCC"/>
    <w:rsid w:val="00593FCA"/>
    <w:rsid w:val="0059557B"/>
    <w:rsid w:val="005C528C"/>
    <w:rsid w:val="005C606D"/>
    <w:rsid w:val="005C6AA7"/>
    <w:rsid w:val="005D7C1A"/>
    <w:rsid w:val="005F0B8E"/>
    <w:rsid w:val="005F27F0"/>
    <w:rsid w:val="005F52C1"/>
    <w:rsid w:val="00601FBC"/>
    <w:rsid w:val="00602620"/>
    <w:rsid w:val="00610170"/>
    <w:rsid w:val="00612476"/>
    <w:rsid w:val="00617BD8"/>
    <w:rsid w:val="0063468D"/>
    <w:rsid w:val="00641FAE"/>
    <w:rsid w:val="00647166"/>
    <w:rsid w:val="00657787"/>
    <w:rsid w:val="006804BA"/>
    <w:rsid w:val="00680B4E"/>
    <w:rsid w:val="00683933"/>
    <w:rsid w:val="00695E3B"/>
    <w:rsid w:val="006A138F"/>
    <w:rsid w:val="006B3CBF"/>
    <w:rsid w:val="006E22E6"/>
    <w:rsid w:val="006F1F29"/>
    <w:rsid w:val="006F47FE"/>
    <w:rsid w:val="007124A5"/>
    <w:rsid w:val="0072477B"/>
    <w:rsid w:val="00736892"/>
    <w:rsid w:val="0074636E"/>
    <w:rsid w:val="00771C67"/>
    <w:rsid w:val="00772D17"/>
    <w:rsid w:val="00785C98"/>
    <w:rsid w:val="007860CF"/>
    <w:rsid w:val="00796865"/>
    <w:rsid w:val="007B76E7"/>
    <w:rsid w:val="007C19DE"/>
    <w:rsid w:val="007C318E"/>
    <w:rsid w:val="007C573F"/>
    <w:rsid w:val="007C768E"/>
    <w:rsid w:val="007E4F43"/>
    <w:rsid w:val="007F43A5"/>
    <w:rsid w:val="00810496"/>
    <w:rsid w:val="00813555"/>
    <w:rsid w:val="00821C91"/>
    <w:rsid w:val="0082226C"/>
    <w:rsid w:val="008230B0"/>
    <w:rsid w:val="00831FC4"/>
    <w:rsid w:val="00832FED"/>
    <w:rsid w:val="00837CF5"/>
    <w:rsid w:val="00840BDF"/>
    <w:rsid w:val="00842A68"/>
    <w:rsid w:val="00843FF3"/>
    <w:rsid w:val="008609A7"/>
    <w:rsid w:val="00873084"/>
    <w:rsid w:val="00873386"/>
    <w:rsid w:val="0087393B"/>
    <w:rsid w:val="00876632"/>
    <w:rsid w:val="00884946"/>
    <w:rsid w:val="008915CC"/>
    <w:rsid w:val="008A2A0E"/>
    <w:rsid w:val="008B2C0C"/>
    <w:rsid w:val="008C28C4"/>
    <w:rsid w:val="008C63DF"/>
    <w:rsid w:val="008D0B49"/>
    <w:rsid w:val="008D399F"/>
    <w:rsid w:val="008E3022"/>
    <w:rsid w:val="00904C3D"/>
    <w:rsid w:val="0090633E"/>
    <w:rsid w:val="009111E3"/>
    <w:rsid w:val="00917ACD"/>
    <w:rsid w:val="00921A4A"/>
    <w:rsid w:val="00934BB1"/>
    <w:rsid w:val="0094228A"/>
    <w:rsid w:val="00943C27"/>
    <w:rsid w:val="00950565"/>
    <w:rsid w:val="0095225E"/>
    <w:rsid w:val="0095276A"/>
    <w:rsid w:val="00953DA9"/>
    <w:rsid w:val="009548A3"/>
    <w:rsid w:val="00963226"/>
    <w:rsid w:val="00977130"/>
    <w:rsid w:val="009966D2"/>
    <w:rsid w:val="00997BFE"/>
    <w:rsid w:val="009B4B84"/>
    <w:rsid w:val="009D34E6"/>
    <w:rsid w:val="009D482C"/>
    <w:rsid w:val="009E2B37"/>
    <w:rsid w:val="009F400F"/>
    <w:rsid w:val="00A045FF"/>
    <w:rsid w:val="00A173FF"/>
    <w:rsid w:val="00A429C8"/>
    <w:rsid w:val="00A441E7"/>
    <w:rsid w:val="00A44B3C"/>
    <w:rsid w:val="00A545E2"/>
    <w:rsid w:val="00A55388"/>
    <w:rsid w:val="00A64F37"/>
    <w:rsid w:val="00A75DD9"/>
    <w:rsid w:val="00A839B9"/>
    <w:rsid w:val="00AB4BD6"/>
    <w:rsid w:val="00AB79BE"/>
    <w:rsid w:val="00AD0934"/>
    <w:rsid w:val="00AD679E"/>
    <w:rsid w:val="00AE45A4"/>
    <w:rsid w:val="00AE70E7"/>
    <w:rsid w:val="00AF6045"/>
    <w:rsid w:val="00B004B9"/>
    <w:rsid w:val="00B15CF5"/>
    <w:rsid w:val="00B43ADB"/>
    <w:rsid w:val="00B50287"/>
    <w:rsid w:val="00B51739"/>
    <w:rsid w:val="00B65034"/>
    <w:rsid w:val="00B67119"/>
    <w:rsid w:val="00B7610A"/>
    <w:rsid w:val="00B9287E"/>
    <w:rsid w:val="00B9698F"/>
    <w:rsid w:val="00BA3299"/>
    <w:rsid w:val="00BB206F"/>
    <w:rsid w:val="00BC629F"/>
    <w:rsid w:val="00BD02BA"/>
    <w:rsid w:val="00BD623E"/>
    <w:rsid w:val="00BE30F6"/>
    <w:rsid w:val="00BE3AC2"/>
    <w:rsid w:val="00BF1A03"/>
    <w:rsid w:val="00BF2823"/>
    <w:rsid w:val="00BF3BEF"/>
    <w:rsid w:val="00BF4E79"/>
    <w:rsid w:val="00C0479F"/>
    <w:rsid w:val="00C46D91"/>
    <w:rsid w:val="00C47B47"/>
    <w:rsid w:val="00C559EA"/>
    <w:rsid w:val="00C65906"/>
    <w:rsid w:val="00C7029A"/>
    <w:rsid w:val="00C7167D"/>
    <w:rsid w:val="00C74DFB"/>
    <w:rsid w:val="00C87B57"/>
    <w:rsid w:val="00C9695E"/>
    <w:rsid w:val="00CA5532"/>
    <w:rsid w:val="00CA77DF"/>
    <w:rsid w:val="00CB4701"/>
    <w:rsid w:val="00CD1099"/>
    <w:rsid w:val="00CD5175"/>
    <w:rsid w:val="00CE03E7"/>
    <w:rsid w:val="00CF4F8B"/>
    <w:rsid w:val="00CF5396"/>
    <w:rsid w:val="00D1504F"/>
    <w:rsid w:val="00D167BD"/>
    <w:rsid w:val="00D200DB"/>
    <w:rsid w:val="00D20F94"/>
    <w:rsid w:val="00D23844"/>
    <w:rsid w:val="00D35319"/>
    <w:rsid w:val="00D36F68"/>
    <w:rsid w:val="00D60305"/>
    <w:rsid w:val="00D62AC8"/>
    <w:rsid w:val="00D67AB0"/>
    <w:rsid w:val="00D7230D"/>
    <w:rsid w:val="00D739A7"/>
    <w:rsid w:val="00D75319"/>
    <w:rsid w:val="00D80393"/>
    <w:rsid w:val="00D82CD1"/>
    <w:rsid w:val="00D8441A"/>
    <w:rsid w:val="00D8482E"/>
    <w:rsid w:val="00D855D6"/>
    <w:rsid w:val="00D9154C"/>
    <w:rsid w:val="00DD2A99"/>
    <w:rsid w:val="00DD4F9D"/>
    <w:rsid w:val="00E03924"/>
    <w:rsid w:val="00E0668D"/>
    <w:rsid w:val="00E250FA"/>
    <w:rsid w:val="00E3621C"/>
    <w:rsid w:val="00E57321"/>
    <w:rsid w:val="00E57435"/>
    <w:rsid w:val="00E72E02"/>
    <w:rsid w:val="00E746F7"/>
    <w:rsid w:val="00E77928"/>
    <w:rsid w:val="00E86220"/>
    <w:rsid w:val="00E90C96"/>
    <w:rsid w:val="00E911A6"/>
    <w:rsid w:val="00E92265"/>
    <w:rsid w:val="00E926D7"/>
    <w:rsid w:val="00EA0C7D"/>
    <w:rsid w:val="00EA4210"/>
    <w:rsid w:val="00EB5454"/>
    <w:rsid w:val="00EC1095"/>
    <w:rsid w:val="00EC2B15"/>
    <w:rsid w:val="00EC5739"/>
    <w:rsid w:val="00EC7868"/>
    <w:rsid w:val="00ED1D27"/>
    <w:rsid w:val="00ED6472"/>
    <w:rsid w:val="00ED66B2"/>
    <w:rsid w:val="00F109B4"/>
    <w:rsid w:val="00F2092D"/>
    <w:rsid w:val="00F22D1E"/>
    <w:rsid w:val="00F4557A"/>
    <w:rsid w:val="00F461E8"/>
    <w:rsid w:val="00F53C52"/>
    <w:rsid w:val="00F55B18"/>
    <w:rsid w:val="00F92BED"/>
    <w:rsid w:val="00FB1DD9"/>
    <w:rsid w:val="00FB7092"/>
    <w:rsid w:val="00FB7691"/>
    <w:rsid w:val="00FC4CA6"/>
    <w:rsid w:val="00FC6F61"/>
    <w:rsid w:val="00FD1C7D"/>
    <w:rsid w:val="00FE0E34"/>
    <w:rsid w:val="00FE28CC"/>
    <w:rsid w:val="00FE617D"/>
    <w:rsid w:val="00FF03A5"/>
    <w:rsid w:val="00FF7644"/>
    <w:rsid w:val="00FF7B5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8018F-34A6-4FF0-85DF-F3B215A2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3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57"/>
    <w:pPr>
      <w:ind w:left="720"/>
      <w:contextualSpacing/>
    </w:pPr>
  </w:style>
  <w:style w:type="table" w:styleId="a4">
    <w:name w:val="Table Grid"/>
    <w:basedOn w:val="a1"/>
    <w:uiPriority w:val="39"/>
    <w:rsid w:val="0087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4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77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3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CE03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03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0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047D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047D68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047D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047D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8AEA-0C52-4306-A188-3D8BC7D7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11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217</cp:revision>
  <cp:lastPrinted>2017-09-25T07:39:00Z</cp:lastPrinted>
  <dcterms:created xsi:type="dcterms:W3CDTF">2017-08-21T08:32:00Z</dcterms:created>
  <dcterms:modified xsi:type="dcterms:W3CDTF">2017-10-05T13:50:00Z</dcterms:modified>
</cp:coreProperties>
</file>